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黑体" w:eastAsia="方正小标宋简体" w:cs="黑体"/>
          <w:color w:val="000000" w:themeColor="text1"/>
          <w:sz w:val="44"/>
          <w:szCs w:val="44"/>
        </w:rPr>
      </w:pPr>
      <w:r>
        <w:rPr>
          <w:rFonts w:hint="eastAsia" w:ascii="方正小标宋_GBK" w:hAnsi="方正小标宋_GBK" w:eastAsia="方正小标宋_GBK" w:cs="方正小标宋_GBK"/>
          <w:spacing w:val="-6"/>
          <w:sz w:val="44"/>
          <w:szCs w:val="44"/>
          <w:lang w:eastAsia="zh-CN"/>
        </w:rPr>
        <w:t>关于《</w:t>
      </w:r>
      <w:r>
        <w:rPr>
          <w:rFonts w:hint="eastAsia" w:ascii="方正小标宋简体" w:hAnsi="黑体" w:eastAsia="方正小标宋简体" w:cs="黑体"/>
          <w:color w:val="000000" w:themeColor="text1"/>
          <w:sz w:val="44"/>
          <w:szCs w:val="44"/>
          <w:lang w:eastAsia="zh-CN"/>
        </w:rPr>
        <w:t>郑州市</w:t>
      </w:r>
      <w:r>
        <w:rPr>
          <w:rFonts w:hint="eastAsia" w:ascii="方正小标宋简体" w:hAnsi="黑体" w:eastAsia="方正小标宋简体" w:cs="黑体"/>
          <w:color w:val="000000" w:themeColor="text1"/>
          <w:sz w:val="44"/>
          <w:szCs w:val="44"/>
        </w:rPr>
        <w:t>农药包装废弃物回收处理实施</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pacing w:val="-6"/>
          <w:sz w:val="44"/>
          <w:szCs w:val="44"/>
          <w:lang w:eastAsia="zh-CN"/>
        </w:rPr>
      </w:pPr>
      <w:r>
        <w:rPr>
          <w:rFonts w:hint="eastAsia" w:ascii="方正小标宋简体" w:hAnsi="黑体" w:eastAsia="方正小标宋简体" w:cs="黑体"/>
          <w:color w:val="000000" w:themeColor="text1"/>
          <w:sz w:val="44"/>
          <w:szCs w:val="44"/>
        </w:rPr>
        <w:t>意见</w:t>
      </w:r>
      <w:r>
        <w:rPr>
          <w:rFonts w:hint="eastAsia" w:ascii="方正小标宋_GBK" w:hAnsi="方正小标宋_GBK" w:eastAsia="方正小标宋_GBK" w:cs="方正小标宋_GBK"/>
          <w:spacing w:val="-6"/>
          <w:sz w:val="44"/>
          <w:szCs w:val="44"/>
          <w:lang w:eastAsia="zh-CN"/>
        </w:rPr>
        <w:t>》的起草说明</w:t>
      </w: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ascii="楷体_GB2312" w:hAnsi="Calibri" w:eastAsia="楷体_GB2312" w:cs="Times New Roman"/>
          <w:sz w:val="32"/>
          <w:szCs w:val="32"/>
        </w:rPr>
      </w:pPr>
      <w:r>
        <w:rPr>
          <w:rFonts w:hint="eastAsia" w:ascii="楷体_GB2312" w:hAnsi="Calibri" w:eastAsia="楷体_GB2312" w:cs="Times New Roman"/>
          <w:sz w:val="32"/>
          <w:szCs w:val="32"/>
        </w:rPr>
        <w:t>郑州市农村工作委员会</w:t>
      </w:r>
    </w:p>
    <w:p>
      <w:pPr>
        <w:keepNext w:val="0"/>
        <w:keepLines w:val="0"/>
        <w:pageBreakBefore w:val="0"/>
        <w:widowControl w:val="0"/>
        <w:numPr>
          <w:ilvl w:val="0"/>
          <w:numId w:val="0"/>
        </w:numPr>
        <w:kinsoku/>
        <w:wordWrap/>
        <w:overflowPunct/>
        <w:topLinePunct w:val="0"/>
        <w:autoSpaceDE/>
        <w:autoSpaceDN/>
        <w:bidi w:val="0"/>
        <w:spacing w:line="560" w:lineRule="exact"/>
        <w:ind w:right="0" w:firstLine="640" w:firstLineChars="200"/>
        <w:textAlignment w:val="auto"/>
        <w:rPr>
          <w:rFonts w:hint="eastAsia" w:ascii="仿宋_GB2312" w:hAnsi="Calibri" w:eastAsia="仿宋_GB2312" w:cs="仿宋_GB2312"/>
          <w:kern w:val="0"/>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ind w:right="0" w:firstLine="640" w:firstLineChars="200"/>
        <w:jc w:val="both"/>
        <w:textAlignment w:val="auto"/>
        <w:rPr>
          <w:rFonts w:hint="eastAsia" w:ascii="仿宋_GB2312" w:hAnsi="Calibri" w:eastAsia="仿宋_GB2312" w:cs="仿宋_GB2312"/>
          <w:kern w:val="0"/>
          <w:sz w:val="32"/>
          <w:szCs w:val="32"/>
        </w:rPr>
      </w:pPr>
      <w:r>
        <w:rPr>
          <w:rFonts w:hint="eastAsia" w:ascii="仿宋_GB2312" w:hAnsi="仿宋_GB2312" w:eastAsia="仿宋_GB2312" w:cs="仿宋_GB2312"/>
          <w:color w:val="000000" w:themeColor="text1"/>
          <w:sz w:val="32"/>
          <w:szCs w:val="32"/>
          <w:lang w:eastAsia="zh-CN"/>
        </w:rPr>
        <w:t>根据</w:t>
      </w:r>
      <w:r>
        <w:rPr>
          <w:rFonts w:hint="eastAsia" w:ascii="仿宋_GB2312" w:hAnsi="仿宋_GB2312" w:eastAsia="仿宋_GB2312" w:cs="仿宋_GB2312"/>
          <w:color w:val="000000" w:themeColor="text1"/>
          <w:sz w:val="32"/>
          <w:szCs w:val="32"/>
        </w:rPr>
        <w:t>《农药包装废弃物回收处理管理办法》（农业农村部 生态环境部令2020年第6号</w:t>
      </w:r>
      <w:r>
        <w:rPr>
          <w:rFonts w:hint="eastAsia" w:ascii="仿宋_GB2312" w:hAnsi="仿宋_GB2312" w:eastAsia="仿宋_GB2312" w:cs="仿宋_GB2312"/>
          <w:color w:val="000000" w:themeColor="text1"/>
          <w:sz w:val="32"/>
          <w:szCs w:val="32"/>
          <w:lang w:eastAsia="zh-CN"/>
        </w:rPr>
        <w:t>）和</w:t>
      </w:r>
      <w:r>
        <w:rPr>
          <w:rFonts w:hint="eastAsia" w:ascii="仿宋_GB2312" w:hAnsi="仿宋_GB2312" w:eastAsia="仿宋_GB2312" w:cs="仿宋_GB2312"/>
          <w:color w:val="000000" w:themeColor="text1"/>
          <w:sz w:val="32"/>
          <w:szCs w:val="32"/>
        </w:rPr>
        <w:t>《河南省农药包装废弃物回收处理实施意见》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豫农</w:t>
      </w:r>
      <w:r>
        <w:rPr>
          <w:rFonts w:hint="eastAsia" w:ascii="仿宋_GB2312" w:hAnsi="仿宋_GB2312" w:eastAsia="仿宋_GB2312" w:cs="仿宋_GB2312"/>
          <w:color w:val="000000" w:themeColor="text1"/>
          <w:sz w:val="32"/>
          <w:szCs w:val="32"/>
          <w:lang w:eastAsia="zh-CN"/>
        </w:rPr>
        <w:t>文</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号</w:t>
      </w:r>
      <w:r>
        <w:rPr>
          <w:rFonts w:hint="eastAsia" w:ascii="仿宋_GB2312" w:hAnsi="仿宋_GB2312" w:eastAsia="仿宋_GB2312" w:cs="仿宋_GB2312"/>
          <w:color w:val="000000" w:themeColor="text1"/>
          <w:sz w:val="32"/>
          <w:szCs w:val="32"/>
          <w:lang w:eastAsia="zh-CN"/>
        </w:rPr>
        <w:t>）等</w:t>
      </w:r>
      <w:r>
        <w:rPr>
          <w:rFonts w:hint="eastAsia" w:ascii="仿宋_GB2312" w:hAnsi="仿宋_GB2312" w:eastAsia="仿宋_GB2312" w:cs="仿宋_GB2312"/>
          <w:color w:val="000000" w:themeColor="text1"/>
          <w:sz w:val="32"/>
          <w:szCs w:val="32"/>
          <w:lang w:val="en-US" w:eastAsia="zh-CN"/>
        </w:rPr>
        <w:t>文件要求</w:t>
      </w:r>
      <w:r>
        <w:rPr>
          <w:rFonts w:hint="eastAsia" w:ascii="仿宋_GB2312" w:hAnsi="Calibri" w:eastAsia="仿宋_GB2312" w:cs="仿宋_GB2312"/>
          <w:kern w:val="0"/>
          <w:sz w:val="32"/>
          <w:szCs w:val="32"/>
          <w:lang w:eastAsia="zh-CN"/>
        </w:rPr>
        <w:t>，市农委组织起草了《郑州市农药包装废弃物回收处理实施意见</w:t>
      </w:r>
      <w:r>
        <w:rPr>
          <w:rFonts w:hint="eastAsia" w:ascii="仿宋_GB2312" w:hAnsi="Calibri" w:eastAsia="仿宋_GB2312" w:cs="仿宋_GB2312"/>
          <w:kern w:val="0"/>
          <w:sz w:val="32"/>
          <w:szCs w:val="32"/>
          <w:lang w:val="en-US" w:eastAsia="zh-CN"/>
        </w:rPr>
        <w:t>（征求意见稿）</w:t>
      </w:r>
      <w:r>
        <w:rPr>
          <w:rFonts w:hint="eastAsia" w:ascii="仿宋_GB2312" w:hAnsi="Calibri" w:eastAsia="仿宋_GB2312" w:cs="仿宋_GB2312"/>
          <w:kern w:val="0"/>
          <w:sz w:val="32"/>
          <w:szCs w:val="32"/>
          <w:lang w:eastAsia="zh-CN"/>
        </w:rPr>
        <w:t>》。</w:t>
      </w:r>
      <w:r>
        <w:rPr>
          <w:rFonts w:hint="eastAsia" w:ascii="仿宋_GB2312" w:hAnsi="Calibri" w:eastAsia="仿宋_GB2312" w:cs="仿宋_GB2312"/>
          <w:kern w:val="0"/>
          <w:sz w:val="32"/>
          <w:szCs w:val="32"/>
        </w:rPr>
        <w:t>现将有关情况说明如下：</w:t>
      </w:r>
    </w:p>
    <w:p>
      <w:pPr>
        <w:pStyle w:val="3"/>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right="0" w:firstLine="640" w:firstLineChars="200"/>
        <w:jc w:val="both"/>
        <w:textAlignment w:val="auto"/>
        <w:rPr>
          <w:rFonts w:hint="eastAsia" w:ascii="黑体" w:eastAsia="黑体"/>
          <w:b w:val="0"/>
          <w:color w:val="000000" w:themeColor="text1"/>
          <w:sz w:val="32"/>
          <w:szCs w:val="32"/>
          <w:lang w:eastAsia="zh-CN"/>
        </w:rPr>
      </w:pPr>
      <w:r>
        <w:rPr>
          <w:rFonts w:hint="eastAsia" w:ascii="黑体" w:eastAsia="黑体"/>
          <w:b w:val="0"/>
          <w:color w:val="000000" w:themeColor="text1"/>
          <w:sz w:val="32"/>
          <w:szCs w:val="32"/>
        </w:rPr>
        <w:t>一、</w:t>
      </w:r>
      <w:r>
        <w:rPr>
          <w:rFonts w:hint="eastAsia" w:ascii="黑体" w:eastAsia="黑体"/>
          <w:b w:val="0"/>
          <w:color w:val="000000" w:themeColor="text1"/>
          <w:sz w:val="32"/>
          <w:szCs w:val="32"/>
          <w:lang w:eastAsia="zh-CN"/>
        </w:rPr>
        <w:t>起草过程</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 w:eastAsia="仿宋_GB2312" w:cs="Times New Roman"/>
          <w:bCs/>
          <w:color w:val="000000" w:themeColor="text1"/>
          <w:sz w:val="32"/>
          <w:szCs w:val="32"/>
        </w:rPr>
      </w:pPr>
      <w:bookmarkStart w:id="0" w:name="_GoBack"/>
      <w:r>
        <w:rPr>
          <w:rFonts w:hint="eastAsia" w:ascii="仿宋_GB2312" w:hAnsi="仿宋" w:eastAsia="仿宋_GB2312" w:cs="Times New Roman"/>
          <w:bCs/>
          <w:color w:val="000000" w:themeColor="text1"/>
          <w:sz w:val="32"/>
          <w:szCs w:val="32"/>
          <w:lang w:val="en-US" w:eastAsia="zh-CN"/>
        </w:rPr>
        <w:t>为防治农药包装废弃物污染，保障公众健康，保护生态环境，</w:t>
      </w:r>
    </w:p>
    <w:p>
      <w:pPr>
        <w:keepNext w:val="0"/>
        <w:keepLines w:val="0"/>
        <w:pageBreakBefore w:val="0"/>
        <w:kinsoku/>
        <w:wordWrap/>
        <w:overflowPunct/>
        <w:topLinePunct w:val="0"/>
        <w:autoSpaceDE/>
        <w:autoSpaceDN/>
        <w:bidi w:val="0"/>
        <w:spacing w:line="560" w:lineRule="exact"/>
        <w:ind w:right="0"/>
        <w:jc w:val="both"/>
        <w:textAlignment w:val="auto"/>
        <w:rPr>
          <w:rFonts w:hint="eastAsia" w:eastAsia="仿宋"/>
          <w:sz w:val="32"/>
          <w:szCs w:val="32"/>
          <w:lang w:eastAsia="zh-CN"/>
        </w:rPr>
      </w:pPr>
      <w:r>
        <w:rPr>
          <w:rFonts w:hint="eastAsia" w:ascii="仿宋_GB2312" w:hAnsi="仿宋_GB2312" w:eastAsia="仿宋_GB2312" w:cs="仿宋_GB2312"/>
          <w:sz w:val="32"/>
          <w:szCs w:val="32"/>
          <w:lang w:eastAsia="zh-CN"/>
        </w:rPr>
        <w:t>市农委会同市生态环境局依据《农药包装废弃物回收处理管理办法》（农业农村部 生态环境部令2020年第6号）和《河南省农药包装废弃物回收处理实施意见》（豫农文〔202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，结合郑州市实际，</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此</w:t>
      </w:r>
      <w:r>
        <w:rPr>
          <w:rFonts w:hint="eastAsia" w:ascii="仿宋_GB2312" w:hAnsi="仿宋_GB2312" w:eastAsia="仿宋_GB2312" w:cs="仿宋_GB2312"/>
          <w:sz w:val="32"/>
          <w:szCs w:val="32"/>
          <w:lang w:eastAsia="zh-CN"/>
        </w:rPr>
        <w:t>意见。</w:t>
      </w:r>
    </w:p>
    <w:bookmarkEnd w:id="0"/>
    <w:p>
      <w:pPr>
        <w:pStyle w:val="5"/>
        <w:keepNext w:val="0"/>
        <w:keepLines w:val="0"/>
        <w:pageBreakBefore w:val="0"/>
        <w:kinsoku/>
        <w:wordWrap/>
        <w:overflowPunct/>
        <w:topLinePunct w:val="0"/>
        <w:autoSpaceDE/>
        <w:autoSpaceDN/>
        <w:bidi w:val="0"/>
        <w:spacing w:line="560" w:lineRule="exact"/>
        <w:ind w:right="0" w:firstLine="640" w:firstLineChars="200"/>
        <w:jc w:val="both"/>
        <w:textAlignment w:val="auto"/>
        <w:rPr>
          <w:rFonts w:ascii="黑体" w:eastAsia="黑体"/>
          <w:color w:val="000000" w:themeColor="text1"/>
          <w:sz w:val="32"/>
          <w:szCs w:val="32"/>
        </w:rPr>
      </w:pPr>
      <w:r>
        <w:rPr>
          <w:rFonts w:hint="eastAsia" w:ascii="黑体" w:eastAsia="黑体"/>
          <w:color w:val="000000" w:themeColor="text1"/>
          <w:sz w:val="32"/>
          <w:szCs w:val="32"/>
          <w:lang w:eastAsia="zh-CN"/>
        </w:rPr>
        <w:t>二</w:t>
      </w:r>
      <w:r>
        <w:rPr>
          <w:rFonts w:hint="eastAsia" w:ascii="黑体" w:eastAsia="黑体"/>
          <w:color w:val="000000" w:themeColor="text1"/>
          <w:sz w:val="32"/>
          <w:szCs w:val="32"/>
        </w:rPr>
        <w:t>、主要依据</w:t>
      </w:r>
    </w:p>
    <w:p>
      <w:pPr>
        <w:pStyle w:val="5"/>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themeColor="text1"/>
          <w:sz w:val="32"/>
          <w:szCs w:val="32"/>
        </w:rPr>
        <w:t>《农药包装废弃物回收处理管理办法》（农业农村部 生态环境部令2020年第6号</w:t>
      </w:r>
      <w:r>
        <w:rPr>
          <w:rFonts w:hint="eastAsia" w:ascii="仿宋_GB2312" w:hAnsi="仿宋_GB2312" w:eastAsia="仿宋_GB2312" w:cs="仿宋_GB2312"/>
          <w:color w:val="000000" w:themeColor="text1"/>
          <w:sz w:val="32"/>
          <w:szCs w:val="32"/>
          <w:lang w:eastAsia="zh-CN"/>
        </w:rPr>
        <w:t>）</w:t>
      </w:r>
    </w:p>
    <w:p>
      <w:pPr>
        <w:pStyle w:val="5"/>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themeColor="text1"/>
          <w:sz w:val="32"/>
          <w:szCs w:val="32"/>
        </w:rPr>
        <w:t>《河南省农药包装废弃物回收处理实施意见》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rPr>
        <w:t>豫农</w:t>
      </w:r>
      <w:r>
        <w:rPr>
          <w:rFonts w:hint="eastAsia" w:ascii="仿宋_GB2312" w:hAnsi="仿宋_GB2312" w:eastAsia="仿宋_GB2312" w:cs="仿宋_GB2312"/>
          <w:color w:val="000000" w:themeColor="text1"/>
          <w:sz w:val="32"/>
          <w:szCs w:val="32"/>
          <w:lang w:eastAsia="zh-CN"/>
        </w:rPr>
        <w:t>文</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号</w:t>
      </w:r>
      <w:r>
        <w:rPr>
          <w:rFonts w:hint="eastAsia" w:ascii="仿宋_GB2312" w:hAnsi="仿宋_GB2312" w:eastAsia="仿宋_GB2312" w:cs="仿宋_GB2312"/>
          <w:color w:val="000000" w:themeColor="text1"/>
          <w:sz w:val="32"/>
          <w:szCs w:val="32"/>
          <w:lang w:eastAsia="zh-CN"/>
        </w:rPr>
        <w:t>）</w:t>
      </w:r>
    </w:p>
    <w:p>
      <w:pPr>
        <w:pStyle w:val="5"/>
        <w:keepNext w:val="0"/>
        <w:keepLines w:val="0"/>
        <w:pageBreakBefore w:val="0"/>
        <w:kinsoku/>
        <w:wordWrap/>
        <w:overflowPunct/>
        <w:topLinePunct w:val="0"/>
        <w:autoSpaceDE/>
        <w:autoSpaceDN/>
        <w:bidi w:val="0"/>
        <w:spacing w:line="560" w:lineRule="exact"/>
        <w:ind w:right="0" w:firstLine="640" w:firstLineChars="200"/>
        <w:jc w:val="both"/>
        <w:textAlignment w:val="auto"/>
        <w:rPr>
          <w:rFonts w:ascii="黑体" w:hAnsi="宋体" w:eastAsia="黑体"/>
          <w:sz w:val="32"/>
          <w:szCs w:val="32"/>
        </w:rPr>
      </w:pPr>
      <w:r>
        <w:rPr>
          <w:rFonts w:hint="eastAsia" w:ascii="黑体" w:eastAsia="黑体"/>
          <w:sz w:val="32"/>
          <w:szCs w:val="32"/>
          <w:lang w:eastAsia="zh-CN"/>
        </w:rPr>
        <w:t>三</w:t>
      </w:r>
      <w:r>
        <w:rPr>
          <w:rFonts w:hint="eastAsia" w:ascii="黑体" w:eastAsia="黑体"/>
          <w:sz w:val="32"/>
          <w:szCs w:val="32"/>
        </w:rPr>
        <w:t>、</w:t>
      </w:r>
      <w:r>
        <w:rPr>
          <w:rFonts w:hint="eastAsia" w:ascii="黑体" w:eastAsia="黑体"/>
          <w:sz w:val="32"/>
          <w:szCs w:val="32"/>
          <w:lang w:eastAsia="zh-CN"/>
        </w:rPr>
        <w:t>主要</w:t>
      </w:r>
      <w:r>
        <w:rPr>
          <w:rFonts w:hint="eastAsia" w:ascii="黑体" w:eastAsia="黑体"/>
          <w:sz w:val="32"/>
          <w:szCs w:val="32"/>
        </w:rPr>
        <w:t>内容</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本规范性文件主要包括</w:t>
      </w:r>
      <w:r>
        <w:rPr>
          <w:rFonts w:hint="eastAsia" w:ascii="仿宋_GB2312" w:hAnsi="仿宋_GB2312" w:eastAsia="仿宋_GB2312" w:cs="仿宋_GB2312"/>
          <w:color w:val="000000" w:themeColor="text1"/>
          <w:sz w:val="32"/>
          <w:szCs w:val="32"/>
        </w:rPr>
        <w:t>目标任务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eastAsia="zh-CN"/>
        </w:rPr>
        <w:t>职责分工</w:t>
      </w:r>
      <w:r>
        <w:rPr>
          <w:rFonts w:hint="eastAsia" w:ascii="仿宋_GB2312" w:hAnsi="仿宋_GB2312" w:eastAsia="仿宋_GB2312" w:cs="仿宋_GB2312"/>
          <w:sz w:val="32"/>
          <w:szCs w:val="32"/>
          <w:lang w:eastAsia="zh-CN"/>
        </w:rPr>
        <w:t>、主要措施、有关责任、工作要求五</w:t>
      </w:r>
      <w:r>
        <w:rPr>
          <w:rFonts w:hint="eastAsia" w:ascii="仿宋_GB2312" w:hAnsi="仿宋_GB2312" w:eastAsia="仿宋_GB2312" w:cs="仿宋_GB2312"/>
          <w:sz w:val="32"/>
          <w:szCs w:val="32"/>
        </w:rPr>
        <w:t>个方面。</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目标任务。</w:t>
      </w:r>
      <w:r>
        <w:rPr>
          <w:rFonts w:hint="eastAsia" w:ascii="仿宋_GB2312" w:hAnsi="仿宋_GB2312" w:eastAsia="仿宋_GB2312" w:cs="仿宋_GB2312"/>
          <w:b w:val="0"/>
          <w:bCs w:val="0"/>
          <w:sz w:val="32"/>
          <w:szCs w:val="32"/>
          <w:lang w:eastAsia="zh-CN"/>
        </w:rPr>
        <w:t>力争到“十四五”末农药包装废弃物回收率达到80%以上，到2030年底基本实现我市农药包装废弃物全面回收、合理利用、规范处理。</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职责分工。</w:t>
      </w:r>
      <w:r>
        <w:rPr>
          <w:rFonts w:hint="eastAsia" w:ascii="仿宋_GB2312" w:hAnsi="仿宋_GB2312" w:eastAsia="仿宋_GB2312" w:cs="仿宋_GB2312"/>
          <w:b w:val="0"/>
          <w:bCs w:val="0"/>
          <w:color w:val="000000"/>
          <w:sz w:val="32"/>
          <w:szCs w:val="32"/>
        </w:rPr>
        <w:t>明确</w:t>
      </w:r>
      <w:r>
        <w:rPr>
          <w:rFonts w:hint="eastAsia" w:ascii="仿宋_GB2312" w:hAnsi="仿宋_GB2312" w:eastAsia="仿宋_GB2312" w:cs="仿宋_GB2312"/>
          <w:b w:val="0"/>
          <w:bCs w:val="0"/>
          <w:color w:val="000000"/>
          <w:sz w:val="32"/>
          <w:szCs w:val="32"/>
          <w:lang w:eastAsia="zh-CN"/>
        </w:rPr>
        <w:t>了</w:t>
      </w:r>
      <w:r>
        <w:rPr>
          <w:rFonts w:hint="eastAsia" w:ascii="仿宋_GB2312" w:hAnsi="仿宋_GB2312" w:eastAsia="仿宋_GB2312" w:cs="仿宋_GB2312"/>
          <w:b w:val="0"/>
          <w:bCs w:val="0"/>
          <w:color w:val="000000"/>
          <w:sz w:val="32"/>
          <w:szCs w:val="32"/>
        </w:rPr>
        <w:t>县级人民政府</w:t>
      </w:r>
      <w:r>
        <w:rPr>
          <w:rFonts w:hint="eastAsia" w:ascii="仿宋_GB2312" w:hAnsi="仿宋_GB2312" w:eastAsia="仿宋_GB2312" w:cs="仿宋_GB2312"/>
          <w:b w:val="0"/>
          <w:bCs w:val="0"/>
          <w:color w:val="000000" w:themeColor="text1"/>
          <w:sz w:val="32"/>
          <w:szCs w:val="32"/>
          <w:lang w:eastAsia="zh-CN"/>
        </w:rPr>
        <w:t>、</w:t>
      </w:r>
      <w:r>
        <w:rPr>
          <w:rFonts w:hint="eastAsia" w:ascii="仿宋_GB2312" w:hAnsi="仿宋_GB2312" w:eastAsia="仿宋_GB2312" w:cs="仿宋_GB2312"/>
          <w:b w:val="0"/>
          <w:bCs w:val="0"/>
          <w:color w:val="000000"/>
          <w:sz w:val="32"/>
          <w:szCs w:val="32"/>
        </w:rPr>
        <w:t>县级人民政府</w:t>
      </w:r>
      <w:r>
        <w:rPr>
          <w:rFonts w:hint="eastAsia" w:ascii="仿宋_GB2312" w:hAnsi="仿宋_GB2312" w:eastAsia="仿宋_GB2312" w:cs="仿宋_GB2312"/>
          <w:b w:val="0"/>
          <w:bCs w:val="0"/>
          <w:color w:val="000000" w:themeColor="text1"/>
          <w:sz w:val="32"/>
          <w:szCs w:val="32"/>
          <w:lang w:eastAsia="zh-CN"/>
        </w:rPr>
        <w:t>农业农村主管部门、</w:t>
      </w:r>
      <w:r>
        <w:rPr>
          <w:rFonts w:hint="eastAsia" w:ascii="仿宋_GB2312" w:hAnsi="仿宋_GB2312" w:eastAsia="仿宋_GB2312" w:cs="仿宋_GB2312"/>
          <w:b w:val="0"/>
          <w:bCs w:val="0"/>
          <w:color w:val="000000"/>
          <w:sz w:val="32"/>
          <w:szCs w:val="32"/>
        </w:rPr>
        <w:t>县级人民政府</w:t>
      </w:r>
      <w:r>
        <w:rPr>
          <w:rFonts w:hint="eastAsia" w:ascii="仿宋_GB2312" w:hAnsi="仿宋_GB2312" w:eastAsia="仿宋_GB2312" w:cs="仿宋_GB2312"/>
          <w:b w:val="0"/>
          <w:bCs w:val="0"/>
          <w:color w:val="000000" w:themeColor="text1"/>
          <w:sz w:val="32"/>
          <w:szCs w:val="32"/>
          <w:lang w:eastAsia="zh-CN"/>
        </w:rPr>
        <w:t>生态环境主管部门在农药包装废弃物回收处理工作中承担的相关职责</w:t>
      </w:r>
      <w:r>
        <w:rPr>
          <w:rFonts w:hint="eastAsia" w:ascii="仿宋_GB2312" w:hAnsi="仿宋_GB2312" w:eastAsia="仿宋_GB2312" w:cs="仿宋_GB2312"/>
          <w:b w:val="0"/>
          <w:bCs w:val="0"/>
          <w:color w:val="000000" w:themeColor="text1"/>
          <w:sz w:val="32"/>
          <w:szCs w:val="32"/>
          <w:highlight w:val="none"/>
          <w:lang w:val="en-US" w:eastAsia="zh-CN"/>
        </w:rPr>
        <w:t>。</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b w:val="0"/>
          <w:bCs w:val="0"/>
          <w:i w:val="0"/>
          <w:caps w:val="0"/>
          <w:color w:val="000000" w:themeColor="text1"/>
          <w:spacing w:val="0"/>
          <w:kern w:val="0"/>
          <w:sz w:val="32"/>
          <w:szCs w:val="32"/>
          <w:lang w:val="en-US" w:eastAsia="zh-CN" w:bidi="ar"/>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z w:val="32"/>
          <w:szCs w:val="32"/>
          <w:lang w:eastAsia="zh-CN"/>
        </w:rPr>
        <w:t>主要措施。</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i w:val="0"/>
          <w:caps w:val="0"/>
          <w:color w:val="000000" w:themeColor="text1"/>
          <w:spacing w:val="0"/>
          <w:kern w:val="0"/>
          <w:sz w:val="32"/>
          <w:szCs w:val="32"/>
          <w:lang w:val="en-US" w:eastAsia="zh-CN" w:bidi="ar"/>
        </w:rPr>
        <w:t>建立回收处理体系、</w:t>
      </w:r>
      <w:r>
        <w:rPr>
          <w:rFonts w:hint="eastAsia" w:ascii="仿宋_GB2312" w:hAnsi="仿宋_GB2312" w:eastAsia="仿宋_GB2312" w:cs="仿宋_GB2312"/>
          <w:b w:val="0"/>
          <w:bCs w:val="0"/>
          <w:color w:val="000000" w:themeColor="text1"/>
          <w:sz w:val="32"/>
          <w:szCs w:val="32"/>
          <w:lang w:eastAsia="zh-CN"/>
        </w:rPr>
        <w:t>安全无害贮存、</w:t>
      </w:r>
      <w:r>
        <w:rPr>
          <w:rFonts w:hint="eastAsia" w:ascii="仿宋_GB2312" w:hAnsi="仿宋_GB2312" w:eastAsia="仿宋_GB2312" w:cs="仿宋_GB2312"/>
          <w:b w:val="0"/>
          <w:bCs w:val="0"/>
          <w:i w:val="0"/>
          <w:caps w:val="0"/>
          <w:color w:val="000000" w:themeColor="text1"/>
          <w:spacing w:val="0"/>
          <w:kern w:val="0"/>
          <w:sz w:val="32"/>
          <w:szCs w:val="32"/>
          <w:lang w:val="en-US" w:eastAsia="zh-CN" w:bidi="ar"/>
        </w:rPr>
        <w:t>推动无害化处理及资源化利用、加强源头治理、加强监督管理执法、建立长效机制。</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eastAsia="zh-CN"/>
        </w:rPr>
        <w:t>（四）有关责任。</w:t>
      </w:r>
      <w:r>
        <w:rPr>
          <w:rFonts w:hint="eastAsia" w:ascii="仿宋_GB2312" w:hAnsi="仿宋_GB2312" w:eastAsia="仿宋_GB2312" w:cs="仿宋_GB2312"/>
          <w:b w:val="0"/>
          <w:bCs w:val="0"/>
          <w:kern w:val="2"/>
          <w:sz w:val="32"/>
          <w:szCs w:val="32"/>
          <w:lang w:val="en-US" w:eastAsia="zh-CN" w:bidi="ar-SA"/>
        </w:rPr>
        <w:t>按照相关法律法规对各地农业农村主管部门、生态环境主管部门、农药生产者、经营者、使用者等未按照规定履行职责或义务的进行处分处罚</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w:t>
      </w:r>
      <w:r>
        <w:rPr>
          <w:rFonts w:hint="eastAsia" w:ascii="楷体_GB2312" w:hAnsi="楷体_GB2312" w:eastAsia="楷体_GB2312" w:cs="楷体_GB2312"/>
          <w:b w:val="0"/>
          <w:bCs w:val="0"/>
          <w:sz w:val="32"/>
          <w:szCs w:val="32"/>
          <w:lang w:val="en-US" w:eastAsia="zh-CN"/>
        </w:rPr>
        <w:t>五）工作要求。</w:t>
      </w:r>
      <w:r>
        <w:rPr>
          <w:rFonts w:hint="eastAsia" w:ascii="仿宋_GB2312" w:hAnsi="仿宋_GB2312" w:eastAsia="仿宋_GB2312" w:cs="仿宋_GB2312"/>
          <w:b w:val="0"/>
          <w:bCs w:val="0"/>
          <w:sz w:val="32"/>
          <w:szCs w:val="32"/>
          <w:lang w:val="en-US" w:eastAsia="zh-CN"/>
        </w:rPr>
        <w:t>各地要加强组织领导，落实各项职责、做好宣传培训，加强示范带动、强化资金保障，鼓励多元投入。</w:t>
      </w: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right="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val="0"/>
        <w:autoSpaceDN w:val="0"/>
        <w:bidi w:val="0"/>
        <w:adjustRightInd/>
        <w:snapToGrid/>
        <w:spacing w:line="560" w:lineRule="exact"/>
        <w:ind w:right="1283" w:rightChars="611"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484E"/>
    <w:rsid w:val="0001098B"/>
    <w:rsid w:val="00094237"/>
    <w:rsid w:val="00095999"/>
    <w:rsid w:val="000C0638"/>
    <w:rsid w:val="00205DBB"/>
    <w:rsid w:val="00244705"/>
    <w:rsid w:val="0028020E"/>
    <w:rsid w:val="00317388"/>
    <w:rsid w:val="00326087"/>
    <w:rsid w:val="0041410A"/>
    <w:rsid w:val="00425FAF"/>
    <w:rsid w:val="00443FEA"/>
    <w:rsid w:val="005C4DEC"/>
    <w:rsid w:val="00620A12"/>
    <w:rsid w:val="00635DA5"/>
    <w:rsid w:val="006421A9"/>
    <w:rsid w:val="006757FE"/>
    <w:rsid w:val="006C225B"/>
    <w:rsid w:val="00855E09"/>
    <w:rsid w:val="00902359"/>
    <w:rsid w:val="009163B9"/>
    <w:rsid w:val="0095369C"/>
    <w:rsid w:val="00965398"/>
    <w:rsid w:val="009E0420"/>
    <w:rsid w:val="00A71F2F"/>
    <w:rsid w:val="00A8068D"/>
    <w:rsid w:val="00A8781E"/>
    <w:rsid w:val="00B116AD"/>
    <w:rsid w:val="00B30F23"/>
    <w:rsid w:val="00B90266"/>
    <w:rsid w:val="00BD484E"/>
    <w:rsid w:val="00BE475B"/>
    <w:rsid w:val="00CC6175"/>
    <w:rsid w:val="00CE680B"/>
    <w:rsid w:val="00E01828"/>
    <w:rsid w:val="00E2729F"/>
    <w:rsid w:val="00E34634"/>
    <w:rsid w:val="1CA826A2"/>
    <w:rsid w:val="2FFA6F54"/>
    <w:rsid w:val="34734C4F"/>
    <w:rsid w:val="3EF950E8"/>
    <w:rsid w:val="5E3770F4"/>
    <w:rsid w:val="65CEBCBB"/>
    <w:rsid w:val="6E7E0848"/>
    <w:rsid w:val="759BD627"/>
    <w:rsid w:val="77FB83ED"/>
    <w:rsid w:val="77FFC114"/>
    <w:rsid w:val="786C3B62"/>
    <w:rsid w:val="7B87208B"/>
    <w:rsid w:val="7EFF7280"/>
    <w:rsid w:val="7F59E3FD"/>
    <w:rsid w:val="9FFFEDD2"/>
    <w:rsid w:val="D78B9DBF"/>
    <w:rsid w:val="DC57F52D"/>
    <w:rsid w:val="DC934350"/>
    <w:rsid w:val="E7AEF4A8"/>
    <w:rsid w:val="F3BFC073"/>
    <w:rsid w:val="F5BDE3A5"/>
    <w:rsid w:val="F9ED9AFD"/>
    <w:rsid w:val="FB7485CE"/>
    <w:rsid w:val="FFAE9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4"/>
    <w:link w:val="12"/>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5">
    <w:name w:val="annotation text"/>
    <w:basedOn w:val="1"/>
    <w:link w:val="13"/>
    <w:semiHidden/>
    <w:qFormat/>
    <w:uiPriority w:val="0"/>
    <w:pPr>
      <w:jc w:val="left"/>
    </w:pPr>
    <w:rPr>
      <w:rFonts w:ascii="Times New Roman" w:hAnsi="Times New Roman" w:eastAsia="宋体" w:cs="Times New Roman"/>
      <w:szCs w:val="24"/>
    </w:rPr>
  </w:style>
  <w:style w:type="paragraph" w:styleId="6">
    <w:name w:val="Body Text Indent"/>
    <w:basedOn w:val="1"/>
    <w:next w:val="1"/>
    <w:qFormat/>
    <w:uiPriority w:val="0"/>
    <w:pPr>
      <w:spacing w:after="120"/>
      <w:ind w:left="420" w:leftChars="200"/>
    </w:pPr>
  </w:style>
  <w:style w:type="paragraph" w:styleId="7">
    <w:name w:val="footer"/>
    <w:basedOn w:val="1"/>
    <w:link w:val="15"/>
    <w:semiHidden/>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6"/>
    <w:next w:val="1"/>
    <w:qFormat/>
    <w:uiPriority w:val="0"/>
    <w:pPr>
      <w:ind w:firstLine="420" w:firstLineChars="200"/>
    </w:pPr>
  </w:style>
  <w:style w:type="character" w:customStyle="1" w:styleId="12">
    <w:name w:val="标题 1 Char"/>
    <w:basedOn w:val="11"/>
    <w:link w:val="3"/>
    <w:qFormat/>
    <w:uiPriority w:val="0"/>
    <w:rPr>
      <w:rFonts w:ascii="宋体" w:hAnsi="宋体" w:eastAsia="宋体" w:cs="宋体"/>
      <w:b/>
      <w:bCs/>
      <w:kern w:val="36"/>
      <w:sz w:val="48"/>
      <w:szCs w:val="48"/>
    </w:rPr>
  </w:style>
  <w:style w:type="character" w:customStyle="1" w:styleId="13">
    <w:name w:val="批注文字 Char"/>
    <w:basedOn w:val="11"/>
    <w:link w:val="5"/>
    <w:semiHidden/>
    <w:qFormat/>
    <w:uiPriority w:val="0"/>
    <w:rPr>
      <w:rFonts w:ascii="Times New Roman" w:hAnsi="Times New Roman" w:eastAsia="宋体" w:cs="Times New Roman"/>
      <w:szCs w:val="24"/>
    </w:r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135</Words>
  <Characters>773</Characters>
  <Lines>6</Lines>
  <Paragraphs>1</Paragraphs>
  <TotalTime>4</TotalTime>
  <ScaleCrop>false</ScaleCrop>
  <LinksUpToDate>false</LinksUpToDate>
  <CharactersWithSpaces>907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2019-06-26T02:33:00Z</dcterms:created>
  <dc:creator>lenovo</dc:creator>
  <cp:lastModifiedBy>greatwall</cp:lastModifiedBy>
  <dcterms:modified xsi:type="dcterms:W3CDTF">2024-03-07T09:49:28Z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