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both"/>
        <w:rPr>
          <w:rFonts w:hint="eastAsia" w:ascii="黑体" w:hAnsi="黑体" w:eastAsia="黑体" w:cs="黑体"/>
          <w:b w:val="0"/>
          <w:bCs w:val="0"/>
          <w:color w:val="000000"/>
          <w:kern w:val="0"/>
          <w:sz w:val="32"/>
          <w:szCs w:val="32"/>
          <w:lang w:val="en-US" w:eastAsia="zh-CN"/>
        </w:rPr>
      </w:pPr>
      <w:bookmarkStart w:id="0" w:name="_GoBack"/>
      <w:r>
        <w:rPr>
          <w:rFonts w:hint="eastAsia" w:ascii="黑体" w:hAnsi="黑体" w:eastAsia="黑体" w:cs="黑体"/>
          <w:b w:val="0"/>
          <w:bCs w:val="0"/>
          <w:color w:val="000000"/>
          <w:kern w:val="0"/>
          <w:sz w:val="32"/>
          <w:szCs w:val="32"/>
          <w:lang w:eastAsia="zh-CN"/>
        </w:rPr>
        <w:t>附件</w:t>
      </w:r>
      <w:r>
        <w:rPr>
          <w:rFonts w:hint="eastAsia" w:ascii="黑体" w:hAnsi="黑体" w:eastAsia="黑体" w:cs="黑体"/>
          <w:b w:val="0"/>
          <w:bCs w:val="0"/>
          <w:color w:val="000000"/>
          <w:kern w:val="0"/>
          <w:sz w:val="32"/>
          <w:szCs w:val="32"/>
          <w:lang w:val="en-US" w:eastAsia="zh-CN"/>
        </w:rPr>
        <w:t>1</w:t>
      </w:r>
    </w:p>
    <w:bookmarkEnd w:id="0"/>
    <w:tbl>
      <w:tblPr>
        <w:tblStyle w:val="2"/>
        <w:tblW w:w="8997" w:type="dxa"/>
        <w:jc w:val="center"/>
        <w:tblLayout w:type="fixed"/>
        <w:tblCellMar>
          <w:top w:w="0" w:type="dxa"/>
          <w:left w:w="108" w:type="dxa"/>
          <w:bottom w:w="0" w:type="dxa"/>
          <w:right w:w="108" w:type="dxa"/>
        </w:tblCellMar>
      </w:tblPr>
      <w:tblGrid>
        <w:gridCol w:w="6576"/>
        <w:gridCol w:w="810"/>
        <w:gridCol w:w="810"/>
        <w:gridCol w:w="801"/>
      </w:tblGrid>
      <w:tr>
        <w:tblPrEx>
          <w:tblCellMar>
            <w:top w:w="0" w:type="dxa"/>
            <w:left w:w="108" w:type="dxa"/>
            <w:bottom w:w="0" w:type="dxa"/>
            <w:right w:w="108" w:type="dxa"/>
          </w:tblCellMar>
        </w:tblPrEx>
        <w:trPr>
          <w:trHeight w:val="624" w:hRule="atLeast"/>
          <w:jc w:val="center"/>
        </w:trPr>
        <w:tc>
          <w:tcPr>
            <w:tcW w:w="8997" w:type="dxa"/>
            <w:gridSpan w:val="4"/>
            <w:vMerge w:val="restart"/>
            <w:tcBorders>
              <w:top w:val="nil"/>
              <w:left w:val="nil"/>
              <w:bottom w:val="single" w:color="000000" w:sz="4" w:space="0"/>
              <w:right w:val="nil"/>
            </w:tcBorders>
            <w:noWrap w:val="0"/>
            <w:vAlign w:val="center"/>
          </w:tcPr>
          <w:p>
            <w:pPr>
              <w:widowControl/>
              <w:jc w:val="center"/>
              <w:rPr>
                <w:rFonts w:ascii="Times New Roman" w:hAnsi="Times New Roman" w:eastAsia="华文中宋" w:cs="Times New Roman"/>
                <w:b/>
                <w:bCs/>
                <w:color w:val="000000"/>
                <w:kern w:val="0"/>
                <w:sz w:val="36"/>
                <w:szCs w:val="36"/>
              </w:rPr>
            </w:pPr>
            <w:r>
              <w:rPr>
                <w:rFonts w:ascii="Times New Roman" w:hAnsi="Times New Roman" w:eastAsia="华文中宋" w:cs="Times New Roman"/>
                <w:b/>
                <w:bCs/>
                <w:color w:val="000000"/>
                <w:kern w:val="0"/>
                <w:sz w:val="36"/>
                <w:szCs w:val="36"/>
              </w:rPr>
              <w:t>全国休闲农业与乡村旅游精品园区评分表</w:t>
            </w:r>
          </w:p>
          <w:p>
            <w:pPr>
              <w:widowControl/>
              <w:jc w:val="center"/>
              <w:rPr>
                <w:rFonts w:ascii="Times New Roman" w:hAnsi="Times New Roman" w:eastAsia="宋体" w:cs="Times New Roman"/>
                <w:color w:val="000000"/>
                <w:kern w:val="0"/>
                <w:sz w:val="24"/>
                <w:szCs w:val="18"/>
              </w:rPr>
            </w:pPr>
          </w:p>
          <w:p>
            <w:pPr>
              <w:widowControl/>
              <w:rPr>
                <w:rFonts w:ascii="Times New Roman" w:hAnsi="Times New Roman" w:eastAsia="楷体_GB2312" w:cs="Times New Roman"/>
                <w:color w:val="000000"/>
                <w:kern w:val="0"/>
                <w:sz w:val="24"/>
                <w:szCs w:val="18"/>
                <w:u w:val="single"/>
              </w:rPr>
            </w:pPr>
            <w:r>
              <w:rPr>
                <w:rFonts w:ascii="Times New Roman" w:hAnsi="Times New Roman" w:eastAsia="宋体" w:cs="Times New Roman"/>
                <w:color w:val="000000"/>
                <w:kern w:val="0"/>
                <w:sz w:val="24"/>
                <w:szCs w:val="20"/>
              </w:rPr>
              <w:t>单位名称：</w:t>
            </w:r>
            <w:r>
              <w:rPr>
                <w:rFonts w:ascii="Times New Roman" w:hAnsi="Times New Roman" w:eastAsia="楷体_GB2312" w:cs="Times New Roman"/>
                <w:color w:val="000000"/>
                <w:kern w:val="0"/>
                <w:sz w:val="24"/>
                <w:szCs w:val="20"/>
                <w:u w:val="single"/>
              </w:rPr>
              <w:t xml:space="preserve">                            </w:t>
            </w:r>
          </w:p>
        </w:tc>
      </w:tr>
      <w:tr>
        <w:tblPrEx>
          <w:tblCellMar>
            <w:top w:w="0" w:type="dxa"/>
            <w:left w:w="108" w:type="dxa"/>
            <w:bottom w:w="0" w:type="dxa"/>
            <w:right w:w="108" w:type="dxa"/>
          </w:tblCellMar>
        </w:tblPrEx>
        <w:trPr>
          <w:trHeight w:val="624" w:hRule="atLeast"/>
          <w:jc w:val="center"/>
        </w:trPr>
        <w:tc>
          <w:tcPr>
            <w:tcW w:w="8997" w:type="dxa"/>
            <w:gridSpan w:val="4"/>
            <w:vMerge w:val="continue"/>
            <w:tcBorders>
              <w:top w:val="nil"/>
              <w:left w:val="nil"/>
              <w:bottom w:val="single" w:color="000000" w:sz="4" w:space="0"/>
              <w:right w:val="nil"/>
            </w:tcBorders>
            <w:noWrap w:val="0"/>
            <w:vAlign w:val="center"/>
          </w:tcPr>
          <w:p>
            <w:pPr>
              <w:widowControl/>
              <w:jc w:val="left"/>
              <w:rPr>
                <w:rFonts w:ascii="Times New Roman" w:hAnsi="Times New Roman" w:eastAsia="楷体_GB2312" w:cs="Times New Roman"/>
                <w:color w:val="000000"/>
                <w:kern w:val="0"/>
                <w:sz w:val="24"/>
                <w:szCs w:val="18"/>
                <w:u w:val="single"/>
              </w:rPr>
            </w:pPr>
          </w:p>
        </w:tc>
      </w:tr>
      <w:tr>
        <w:tblPrEx>
          <w:tblCellMar>
            <w:top w:w="0" w:type="dxa"/>
            <w:left w:w="108" w:type="dxa"/>
            <w:bottom w:w="0" w:type="dxa"/>
            <w:right w:w="108" w:type="dxa"/>
          </w:tblCellMar>
        </w:tblPrEx>
        <w:trPr>
          <w:trHeight w:val="647"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黑体" w:cs="Times New Roman"/>
                <w:color w:val="000000"/>
                <w:kern w:val="0"/>
                <w:sz w:val="24"/>
                <w:szCs w:val="18"/>
              </w:rPr>
            </w:pPr>
            <w:r>
              <w:rPr>
                <w:rFonts w:ascii="Times New Roman" w:hAnsi="Times New Roman" w:eastAsia="黑体" w:cs="Times New Roman"/>
                <w:color w:val="000000"/>
                <w:kern w:val="0"/>
                <w:sz w:val="24"/>
                <w:szCs w:val="20"/>
              </w:rPr>
              <w:t>检 查 项 目</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黑体" w:cs="Times New Roman"/>
                <w:color w:val="000000"/>
                <w:kern w:val="0"/>
                <w:sz w:val="24"/>
                <w:szCs w:val="18"/>
              </w:rPr>
            </w:pPr>
            <w:r>
              <w:rPr>
                <w:rFonts w:ascii="Times New Roman" w:hAnsi="Times New Roman" w:eastAsia="黑体" w:cs="Times New Roman"/>
                <w:color w:val="000000"/>
                <w:kern w:val="0"/>
                <w:sz w:val="24"/>
                <w:szCs w:val="20"/>
              </w:rPr>
              <w:t>最高得分</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黑体" w:cs="Times New Roman"/>
                <w:color w:val="000000"/>
                <w:kern w:val="0"/>
                <w:sz w:val="24"/>
                <w:szCs w:val="18"/>
              </w:rPr>
            </w:pPr>
            <w:r>
              <w:rPr>
                <w:rFonts w:ascii="Times New Roman" w:hAnsi="Times New Roman" w:eastAsia="黑体" w:cs="Times New Roman"/>
                <w:color w:val="000000"/>
                <w:kern w:val="0"/>
                <w:sz w:val="24"/>
                <w:szCs w:val="20"/>
              </w:rPr>
              <w:t>自评得分</w:t>
            </w:r>
          </w:p>
        </w:tc>
        <w:tc>
          <w:tcPr>
            <w:tcW w:w="80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黑体" w:cs="Times New Roman"/>
                <w:color w:val="000000"/>
                <w:kern w:val="0"/>
                <w:sz w:val="24"/>
                <w:szCs w:val="18"/>
              </w:rPr>
            </w:pPr>
            <w:r>
              <w:rPr>
                <w:rFonts w:ascii="Times New Roman" w:hAnsi="Times New Roman" w:eastAsia="黑体" w:cs="Times New Roman"/>
                <w:color w:val="000000"/>
                <w:kern w:val="0"/>
                <w:sz w:val="24"/>
                <w:szCs w:val="20"/>
              </w:rPr>
              <w:t>验收得分</w:t>
            </w:r>
          </w:p>
        </w:tc>
      </w:tr>
      <w:tr>
        <w:tblPrEx>
          <w:tblCellMar>
            <w:top w:w="0" w:type="dxa"/>
            <w:left w:w="108" w:type="dxa"/>
            <w:bottom w:w="0" w:type="dxa"/>
            <w:right w:w="108" w:type="dxa"/>
          </w:tblCellMar>
        </w:tblPrEx>
        <w:trPr>
          <w:trHeight w:val="572"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黑体" w:cs="Times New Roman"/>
                <w:color w:val="000000"/>
                <w:kern w:val="0"/>
                <w:sz w:val="24"/>
                <w:szCs w:val="18"/>
              </w:rPr>
            </w:pPr>
            <w:r>
              <w:rPr>
                <w:rFonts w:ascii="Times New Roman" w:hAnsi="Times New Roman" w:eastAsia="黑体" w:cs="Times New Roman"/>
                <w:color w:val="000000"/>
                <w:kern w:val="0"/>
                <w:sz w:val="24"/>
                <w:szCs w:val="20"/>
              </w:rPr>
              <w:t>一、</w:t>
            </w:r>
            <w:r>
              <w:rPr>
                <w:rFonts w:ascii="Times New Roman" w:hAnsi="Times New Roman" w:eastAsia="黑体" w:cs="Times New Roman"/>
                <w:b/>
                <w:bCs/>
                <w:color w:val="000000"/>
                <w:kern w:val="0"/>
                <w:sz w:val="24"/>
                <w:szCs w:val="20"/>
              </w:rPr>
              <w:t>带动“三农”发展及生产经营状况（400分）</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c>
          <w:tcPr>
            <w:tcW w:w="81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746"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楷体_GB2312" w:cs="Times New Roman"/>
                <w:b/>
                <w:bCs/>
                <w:color w:val="000000"/>
                <w:kern w:val="0"/>
                <w:sz w:val="24"/>
                <w:szCs w:val="18"/>
              </w:rPr>
            </w:pPr>
            <w:r>
              <w:rPr>
                <w:rFonts w:ascii="Times New Roman" w:hAnsi="Times New Roman" w:eastAsia="宋体" w:cs="Times New Roman"/>
                <w:b/>
                <w:bCs/>
                <w:color w:val="000000"/>
                <w:kern w:val="0"/>
                <w:sz w:val="24"/>
                <w:szCs w:val="20"/>
              </w:rPr>
              <w:t>（一）有鲜明的农业特色（</w:t>
            </w:r>
            <w:r>
              <w:rPr>
                <w:rFonts w:ascii="Times New Roman" w:hAnsi="Times New Roman" w:eastAsia="楷体_GB2312" w:cs="Times New Roman"/>
                <w:b/>
                <w:bCs/>
                <w:color w:val="000000"/>
                <w:kern w:val="0"/>
                <w:sz w:val="24"/>
                <w:szCs w:val="20"/>
              </w:rPr>
              <w:t>100</w:t>
            </w:r>
            <w:r>
              <w:rPr>
                <w:rFonts w:ascii="Times New Roman" w:hAnsi="Times New Roman" w:eastAsia="宋体" w:cs="Times New Roman"/>
                <w:b/>
                <w:bCs/>
                <w:color w:val="000000"/>
                <w:kern w:val="0"/>
                <w:sz w:val="24"/>
                <w:szCs w:val="20"/>
              </w:rPr>
              <w:t>分）</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c>
          <w:tcPr>
            <w:tcW w:w="81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746"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kern w:val="0"/>
                <w:sz w:val="24"/>
                <w:szCs w:val="18"/>
              </w:rPr>
            </w:pPr>
            <w:r>
              <w:rPr>
                <w:rFonts w:ascii="Times New Roman" w:hAnsi="Times New Roman" w:cs="Times New Roman"/>
                <w:color w:val="000000"/>
                <w:kern w:val="0"/>
                <w:sz w:val="24"/>
                <w:szCs w:val="20"/>
              </w:rPr>
              <w:t>1. 主要依托当地农、林、牧、副、渔等农业资源发展休闲农业或乡村旅游项目。</w:t>
            </w:r>
          </w:p>
          <w:p>
            <w:pPr>
              <w:ind w:firstLine="240" w:firstLineChars="100"/>
              <w:rPr>
                <w:rFonts w:ascii="Times New Roman" w:hAnsi="Times New Roman" w:cs="Times New Roman"/>
                <w:color w:val="000000"/>
                <w:kern w:val="0"/>
                <w:sz w:val="24"/>
                <w:szCs w:val="20"/>
              </w:rPr>
            </w:pPr>
            <w:r>
              <w:rPr>
                <w:rFonts w:ascii="Times New Roman" w:hAnsi="Times New Roman" w:cs="Times New Roman"/>
                <w:color w:val="000000"/>
                <w:kern w:val="0"/>
                <w:sz w:val="24"/>
                <w:szCs w:val="20"/>
              </w:rPr>
              <w:t xml:space="preserve">农业资源与农业景观利用效果一般。（10分以下） </w:t>
            </w:r>
          </w:p>
          <w:p>
            <w:pPr>
              <w:ind w:firstLine="240" w:firstLineChars="100"/>
              <w:rPr>
                <w:rFonts w:ascii="Times New Roman" w:hAnsi="Times New Roman" w:cs="Times New Roman"/>
                <w:color w:val="000000"/>
                <w:kern w:val="0"/>
                <w:sz w:val="24"/>
                <w:szCs w:val="20"/>
              </w:rPr>
            </w:pPr>
            <w:r>
              <w:rPr>
                <w:rFonts w:ascii="Times New Roman" w:hAnsi="Times New Roman" w:cs="Times New Roman"/>
                <w:color w:val="000000"/>
                <w:kern w:val="0"/>
                <w:sz w:val="24"/>
                <w:szCs w:val="20"/>
              </w:rPr>
              <w:t xml:space="preserve">农业资源与农业景观利用效果较好。（11-20分） </w:t>
            </w:r>
          </w:p>
          <w:p>
            <w:pPr>
              <w:ind w:firstLine="240" w:firstLineChars="100"/>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农业资源与农业景观利用效果突出。（21-30分）</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30</w:t>
            </w:r>
          </w:p>
        </w:tc>
        <w:tc>
          <w:tcPr>
            <w:tcW w:w="81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746"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kern w:val="0"/>
                <w:sz w:val="24"/>
                <w:szCs w:val="18"/>
              </w:rPr>
            </w:pPr>
            <w:r>
              <w:rPr>
                <w:rFonts w:ascii="Times New Roman" w:hAnsi="Times New Roman" w:cs="Times New Roman"/>
                <w:color w:val="000000"/>
                <w:kern w:val="0"/>
                <w:sz w:val="24"/>
                <w:szCs w:val="20"/>
              </w:rPr>
              <w:t>2.推动当地农业产业化发展，促进农业产业结构调整。</w:t>
            </w:r>
          </w:p>
          <w:p>
            <w:pPr>
              <w:ind w:firstLine="240" w:firstLineChars="100"/>
              <w:rPr>
                <w:rFonts w:ascii="Times New Roman" w:hAnsi="Times New Roman" w:cs="Times New Roman"/>
                <w:color w:val="000000"/>
                <w:kern w:val="0"/>
                <w:sz w:val="24"/>
                <w:szCs w:val="20"/>
              </w:rPr>
            </w:pPr>
            <w:r>
              <w:rPr>
                <w:rFonts w:ascii="Times New Roman" w:hAnsi="Times New Roman" w:cs="Times New Roman"/>
                <w:color w:val="000000"/>
                <w:kern w:val="0"/>
                <w:sz w:val="24"/>
                <w:szCs w:val="20"/>
              </w:rPr>
              <w:t>农业主导产业带动力一般，形成相关产业。（10分以下）</w:t>
            </w:r>
          </w:p>
          <w:p>
            <w:pPr>
              <w:ind w:firstLine="240" w:firstLineChars="100"/>
              <w:rPr>
                <w:rFonts w:ascii="Times New Roman" w:hAnsi="Times New Roman" w:cs="Times New Roman"/>
                <w:color w:val="000000"/>
                <w:kern w:val="0"/>
                <w:sz w:val="24"/>
                <w:szCs w:val="20"/>
              </w:rPr>
            </w:pPr>
            <w:r>
              <w:rPr>
                <w:rFonts w:ascii="Times New Roman" w:hAnsi="Times New Roman" w:cs="Times New Roman"/>
                <w:color w:val="000000"/>
                <w:kern w:val="0"/>
                <w:sz w:val="24"/>
                <w:szCs w:val="20"/>
              </w:rPr>
              <w:t>农业主导产业带动力较强，形成产业链条。（11-20分）</w:t>
            </w:r>
          </w:p>
          <w:p>
            <w:pPr>
              <w:ind w:firstLine="240" w:firstLineChars="100"/>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农业主导产业带动力突出，产业形成规模。（21-30分）</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30</w:t>
            </w:r>
          </w:p>
        </w:tc>
        <w:tc>
          <w:tcPr>
            <w:tcW w:w="81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746"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rPr>
                <w:rFonts w:ascii="Times New Roman" w:hAnsi="Times New Roman" w:cs="Times New Roman"/>
                <w:color w:val="000000"/>
                <w:kern w:val="0"/>
                <w:sz w:val="24"/>
                <w:szCs w:val="20"/>
              </w:rPr>
            </w:pPr>
            <w:r>
              <w:rPr>
                <w:rFonts w:ascii="Times New Roman" w:hAnsi="Times New Roman" w:cs="Times New Roman"/>
                <w:color w:val="000000"/>
                <w:kern w:val="0"/>
                <w:sz w:val="24"/>
                <w:szCs w:val="20"/>
              </w:rPr>
              <w:t>园区形成自己独特的农产品，品种较多，且在周围农村推广种植；农产品自给率高；重视运用新品种和推广新技术；有通过三品一标（无公害农产品、绿色食品、有机食品、农产品地理标志）的农产品。</w:t>
            </w:r>
          </w:p>
          <w:p>
            <w:pPr>
              <w:numPr>
                <w:ilvl w:val="0"/>
                <w:numId w:val="0"/>
              </w:numPr>
              <w:rPr>
                <w:rFonts w:ascii="Times New Roman" w:hAnsi="Times New Roman" w:cs="Times New Roman"/>
                <w:color w:val="000000"/>
                <w:kern w:val="0"/>
                <w:sz w:val="24"/>
                <w:szCs w:val="20"/>
              </w:rPr>
            </w:pP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40</w:t>
            </w:r>
          </w:p>
        </w:tc>
        <w:tc>
          <w:tcPr>
            <w:tcW w:w="81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746"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b/>
                <w:bCs/>
                <w:color w:val="000000"/>
                <w:kern w:val="0"/>
                <w:sz w:val="24"/>
                <w:szCs w:val="18"/>
              </w:rPr>
            </w:pPr>
            <w:r>
              <w:rPr>
                <w:rFonts w:ascii="Times New Roman" w:hAnsi="Times New Roman" w:cs="Times New Roman"/>
                <w:b/>
                <w:bCs/>
                <w:color w:val="000000"/>
                <w:kern w:val="0"/>
                <w:sz w:val="24"/>
                <w:szCs w:val="20"/>
              </w:rPr>
              <w:t>（二）促进当地新农村建设（100分）</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c>
          <w:tcPr>
            <w:tcW w:w="81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746"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kern w:val="0"/>
                <w:sz w:val="24"/>
                <w:szCs w:val="18"/>
              </w:rPr>
            </w:pPr>
            <w:r>
              <w:rPr>
                <w:rFonts w:ascii="Times New Roman" w:hAnsi="Times New Roman" w:cs="Times New Roman"/>
                <w:color w:val="000000"/>
                <w:kern w:val="0"/>
                <w:sz w:val="24"/>
                <w:szCs w:val="20"/>
              </w:rPr>
              <w:t>1.推动当地新农村（村容与环境）建设。</w:t>
            </w:r>
          </w:p>
          <w:p>
            <w:pPr>
              <w:ind w:firstLine="240" w:firstLineChars="100"/>
              <w:rPr>
                <w:rFonts w:ascii="Times New Roman" w:hAnsi="Times New Roman" w:cs="Times New Roman"/>
                <w:color w:val="000000"/>
                <w:kern w:val="0"/>
                <w:sz w:val="24"/>
                <w:szCs w:val="20"/>
              </w:rPr>
            </w:pPr>
            <w:r>
              <w:rPr>
                <w:rFonts w:ascii="Times New Roman" w:hAnsi="Times New Roman" w:cs="Times New Roman"/>
                <w:color w:val="000000"/>
                <w:kern w:val="0"/>
                <w:sz w:val="24"/>
                <w:szCs w:val="20"/>
              </w:rPr>
              <w:t>当地村庄与园区周围环境改善一般。   （20分以下）</w:t>
            </w:r>
          </w:p>
          <w:p>
            <w:pPr>
              <w:ind w:firstLine="240" w:firstLineChars="100"/>
              <w:rPr>
                <w:rFonts w:ascii="Times New Roman" w:hAnsi="Times New Roman" w:cs="Times New Roman"/>
                <w:color w:val="000000"/>
                <w:kern w:val="0"/>
                <w:sz w:val="24"/>
                <w:szCs w:val="20"/>
              </w:rPr>
            </w:pPr>
            <w:r>
              <w:rPr>
                <w:rFonts w:ascii="Times New Roman" w:hAnsi="Times New Roman" w:cs="Times New Roman"/>
                <w:color w:val="000000"/>
                <w:kern w:val="0"/>
                <w:sz w:val="24"/>
                <w:szCs w:val="20"/>
              </w:rPr>
              <w:t>当地村庄与园区周围环境改善明显。    （21-40分）</w:t>
            </w:r>
          </w:p>
          <w:p>
            <w:pPr>
              <w:widowControl/>
              <w:ind w:firstLine="240" w:firstLineChars="100"/>
              <w:rPr>
                <w:rFonts w:ascii="Times New Roman" w:hAnsi="Times New Roman" w:eastAsia="宋体" w:cs="Times New Roman"/>
                <w:b/>
                <w:bCs/>
                <w:color w:val="000000"/>
                <w:kern w:val="0"/>
                <w:sz w:val="24"/>
                <w:szCs w:val="18"/>
              </w:rPr>
            </w:pPr>
            <w:r>
              <w:rPr>
                <w:rFonts w:ascii="Times New Roman" w:hAnsi="Times New Roman" w:cs="Times New Roman"/>
                <w:color w:val="000000"/>
                <w:kern w:val="0"/>
                <w:sz w:val="24"/>
                <w:szCs w:val="20"/>
              </w:rPr>
              <w:t>当地村庄与园区周围环境建设效果突出。（41-60分）</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60</w:t>
            </w:r>
          </w:p>
        </w:tc>
        <w:tc>
          <w:tcPr>
            <w:tcW w:w="81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746"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kern w:val="0"/>
                <w:sz w:val="24"/>
                <w:szCs w:val="18"/>
              </w:rPr>
            </w:pPr>
            <w:r>
              <w:rPr>
                <w:rFonts w:ascii="Times New Roman" w:hAnsi="Times New Roman" w:cs="Times New Roman"/>
                <w:color w:val="000000"/>
                <w:kern w:val="0"/>
                <w:sz w:val="24"/>
                <w:szCs w:val="20"/>
              </w:rPr>
              <w:t>2.带动农村餐饮、住宿等第三产业发展情况。</w:t>
            </w:r>
          </w:p>
          <w:p>
            <w:pPr>
              <w:ind w:firstLine="360" w:firstLineChars="150"/>
              <w:rPr>
                <w:rFonts w:ascii="Times New Roman" w:hAnsi="Times New Roman" w:cs="Times New Roman"/>
                <w:color w:val="000000"/>
                <w:kern w:val="0"/>
                <w:sz w:val="24"/>
                <w:szCs w:val="20"/>
              </w:rPr>
            </w:pPr>
            <w:r>
              <w:rPr>
                <w:rFonts w:ascii="Times New Roman" w:hAnsi="Times New Roman" w:cs="Times New Roman"/>
                <w:color w:val="000000"/>
                <w:kern w:val="0"/>
                <w:sz w:val="24"/>
                <w:szCs w:val="20"/>
              </w:rPr>
              <w:t>发展效果一般。 （15分以下）</w:t>
            </w:r>
          </w:p>
          <w:p>
            <w:pPr>
              <w:ind w:firstLine="360" w:firstLineChars="150"/>
              <w:rPr>
                <w:rFonts w:ascii="Times New Roman" w:hAnsi="Times New Roman" w:cs="Times New Roman"/>
                <w:color w:val="000000"/>
                <w:kern w:val="0"/>
                <w:sz w:val="24"/>
                <w:szCs w:val="20"/>
              </w:rPr>
            </w:pPr>
            <w:r>
              <w:rPr>
                <w:rFonts w:ascii="Times New Roman" w:hAnsi="Times New Roman" w:cs="Times New Roman"/>
                <w:color w:val="000000"/>
                <w:kern w:val="0"/>
                <w:sz w:val="24"/>
                <w:szCs w:val="20"/>
              </w:rPr>
              <w:t>发展效果明显。 （16-30分）</w:t>
            </w:r>
          </w:p>
          <w:p>
            <w:pPr>
              <w:ind w:firstLine="360" w:firstLineChars="150"/>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发展效果突出。 （31-40分）</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40</w:t>
            </w:r>
          </w:p>
        </w:tc>
        <w:tc>
          <w:tcPr>
            <w:tcW w:w="81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746"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b/>
                <w:bCs/>
                <w:color w:val="000000"/>
                <w:kern w:val="0"/>
                <w:sz w:val="24"/>
                <w:szCs w:val="18"/>
              </w:rPr>
            </w:pPr>
            <w:r>
              <w:rPr>
                <w:rFonts w:ascii="Times New Roman" w:hAnsi="Times New Roman" w:cs="Times New Roman"/>
                <w:b/>
                <w:bCs/>
                <w:color w:val="000000"/>
                <w:kern w:val="0"/>
                <w:sz w:val="24"/>
                <w:szCs w:val="20"/>
              </w:rPr>
              <w:t>（三）带动当地农民就业增收（100分）</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c>
          <w:tcPr>
            <w:tcW w:w="81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746"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kern w:val="0"/>
                <w:sz w:val="24"/>
                <w:szCs w:val="18"/>
              </w:rPr>
            </w:pPr>
            <w:r>
              <w:rPr>
                <w:rFonts w:ascii="Times New Roman" w:hAnsi="Times New Roman" w:cs="Times New Roman"/>
                <w:color w:val="000000"/>
                <w:kern w:val="0"/>
                <w:sz w:val="24"/>
                <w:szCs w:val="20"/>
              </w:rPr>
              <w:t>1. 提供就业岗位较多，有效吸纳农民就业，无拖欠职工工资现象：</w:t>
            </w:r>
          </w:p>
          <w:p>
            <w:pPr>
              <w:ind w:firstLine="240" w:firstLineChars="100"/>
              <w:rPr>
                <w:rFonts w:ascii="Times New Roman" w:hAnsi="Times New Roman" w:cs="Times New Roman"/>
                <w:color w:val="000000"/>
                <w:kern w:val="0"/>
                <w:sz w:val="24"/>
                <w:szCs w:val="20"/>
              </w:rPr>
            </w:pPr>
            <w:r>
              <w:rPr>
                <w:rFonts w:ascii="Times New Roman" w:hAnsi="Times New Roman" w:cs="Times New Roman"/>
                <w:color w:val="000000"/>
                <w:kern w:val="0"/>
                <w:sz w:val="24"/>
                <w:szCs w:val="20"/>
              </w:rPr>
              <w:t>直接吸纳劳动就业人数1-80人，农民占从业人员的50%以上。    （0-20分）</w:t>
            </w:r>
          </w:p>
          <w:p>
            <w:pPr>
              <w:ind w:firstLine="240" w:firstLineChars="100"/>
              <w:rPr>
                <w:rFonts w:ascii="Times New Roman" w:hAnsi="Times New Roman" w:cs="Times New Roman"/>
                <w:color w:val="000000"/>
                <w:kern w:val="0"/>
                <w:sz w:val="24"/>
                <w:szCs w:val="20"/>
              </w:rPr>
            </w:pPr>
            <w:r>
              <w:rPr>
                <w:rFonts w:ascii="Times New Roman" w:hAnsi="Times New Roman" w:cs="Times New Roman"/>
                <w:color w:val="000000"/>
                <w:kern w:val="0"/>
                <w:sz w:val="24"/>
                <w:szCs w:val="20"/>
              </w:rPr>
              <w:t>直接吸纳劳动就业人数80-179人，农民占从业人员的50%以上。（21-30分）</w:t>
            </w:r>
          </w:p>
          <w:p>
            <w:pPr>
              <w:ind w:firstLine="240" w:firstLineChars="100"/>
              <w:rPr>
                <w:rFonts w:ascii="Times New Roman" w:hAnsi="Times New Roman" w:cs="Times New Roman"/>
                <w:color w:val="000000"/>
                <w:kern w:val="0"/>
                <w:sz w:val="24"/>
                <w:szCs w:val="20"/>
              </w:rPr>
            </w:pPr>
            <w:r>
              <w:rPr>
                <w:rFonts w:ascii="Times New Roman" w:hAnsi="Times New Roman" w:cs="Times New Roman"/>
                <w:color w:val="000000"/>
                <w:kern w:val="0"/>
                <w:sz w:val="24"/>
                <w:szCs w:val="20"/>
              </w:rPr>
              <w:t>直接吸纳劳动就业人数180-299人，农民占从业人员的50%以上。（31-40分）</w:t>
            </w:r>
          </w:p>
          <w:p>
            <w:pPr>
              <w:widowControl/>
              <w:ind w:firstLine="240" w:firstLineChars="100"/>
              <w:rPr>
                <w:rFonts w:ascii="Times New Roman" w:hAnsi="Times New Roman" w:eastAsia="宋体" w:cs="Times New Roman"/>
                <w:b/>
                <w:bCs/>
                <w:color w:val="000000"/>
                <w:kern w:val="0"/>
                <w:sz w:val="24"/>
                <w:szCs w:val="18"/>
              </w:rPr>
            </w:pPr>
            <w:r>
              <w:rPr>
                <w:rFonts w:ascii="Times New Roman" w:hAnsi="Times New Roman" w:cs="Times New Roman"/>
                <w:color w:val="000000"/>
                <w:kern w:val="0"/>
                <w:sz w:val="24"/>
                <w:szCs w:val="20"/>
              </w:rPr>
              <w:t>直接吸纳劳动就业人数300人以上，农民占从业人员的50%以上。（41-50分）</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50</w:t>
            </w:r>
          </w:p>
        </w:tc>
        <w:tc>
          <w:tcPr>
            <w:tcW w:w="81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746"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kern w:val="0"/>
                <w:sz w:val="24"/>
                <w:szCs w:val="18"/>
              </w:rPr>
            </w:pPr>
            <w:r>
              <w:rPr>
                <w:rFonts w:ascii="Times New Roman" w:hAnsi="Times New Roman" w:cs="Times New Roman"/>
                <w:color w:val="000000"/>
                <w:kern w:val="0"/>
                <w:sz w:val="24"/>
                <w:szCs w:val="20"/>
              </w:rPr>
              <w:t>2.依托园区休闲农业发展，促进当地农民增收。</w:t>
            </w:r>
          </w:p>
          <w:p>
            <w:pPr>
              <w:ind w:firstLine="240" w:firstLineChars="100"/>
              <w:rPr>
                <w:rFonts w:ascii="Times New Roman" w:hAnsi="Times New Roman" w:cs="Times New Roman"/>
                <w:color w:val="000000"/>
                <w:kern w:val="0"/>
                <w:sz w:val="24"/>
                <w:szCs w:val="20"/>
              </w:rPr>
            </w:pPr>
            <w:r>
              <w:rPr>
                <w:rFonts w:ascii="Times New Roman" w:hAnsi="Times New Roman" w:cs="Times New Roman"/>
                <w:color w:val="000000"/>
                <w:kern w:val="0"/>
                <w:sz w:val="24"/>
                <w:szCs w:val="20"/>
              </w:rPr>
              <w:t>促进农民增收效果比较明显。（10分以下）</w:t>
            </w:r>
          </w:p>
          <w:p>
            <w:pPr>
              <w:ind w:firstLine="240" w:firstLineChars="100"/>
              <w:rPr>
                <w:rFonts w:ascii="Times New Roman" w:hAnsi="Times New Roman" w:cs="Times New Roman"/>
                <w:color w:val="000000"/>
                <w:kern w:val="0"/>
                <w:sz w:val="24"/>
                <w:szCs w:val="20"/>
              </w:rPr>
            </w:pPr>
            <w:r>
              <w:rPr>
                <w:rFonts w:ascii="Times New Roman" w:hAnsi="Times New Roman" w:cs="Times New Roman"/>
                <w:color w:val="000000"/>
                <w:kern w:val="0"/>
                <w:sz w:val="24"/>
                <w:szCs w:val="20"/>
              </w:rPr>
              <w:t>促进农民增收效果明显。    （11-20分）</w:t>
            </w:r>
          </w:p>
          <w:p>
            <w:pPr>
              <w:widowControl/>
              <w:ind w:firstLine="240" w:firstLineChars="100"/>
              <w:rPr>
                <w:rFonts w:ascii="Times New Roman" w:hAnsi="Times New Roman" w:eastAsia="黑体" w:cs="Times New Roman"/>
                <w:color w:val="000000"/>
                <w:kern w:val="0"/>
                <w:sz w:val="24"/>
                <w:szCs w:val="18"/>
              </w:rPr>
            </w:pPr>
            <w:r>
              <w:rPr>
                <w:rFonts w:ascii="Times New Roman" w:hAnsi="Times New Roman" w:cs="Times New Roman"/>
                <w:color w:val="000000"/>
                <w:kern w:val="0"/>
                <w:sz w:val="24"/>
                <w:szCs w:val="20"/>
              </w:rPr>
              <w:t>促进农民增收效果突出。    （21-30分）</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30</w:t>
            </w:r>
          </w:p>
        </w:tc>
        <w:tc>
          <w:tcPr>
            <w:tcW w:w="81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746"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kern w:val="0"/>
                <w:sz w:val="24"/>
                <w:szCs w:val="18"/>
              </w:rPr>
            </w:pPr>
            <w:r>
              <w:rPr>
                <w:rFonts w:ascii="Times New Roman" w:hAnsi="Times New Roman" w:cs="Times New Roman"/>
                <w:color w:val="000000"/>
                <w:kern w:val="0"/>
                <w:sz w:val="24"/>
                <w:szCs w:val="20"/>
              </w:rPr>
              <w:t>3.与当地农民及农村社区有良好互动，随机调查，</w:t>
            </w:r>
          </w:p>
          <w:p>
            <w:pPr>
              <w:ind w:firstLine="240" w:firstLineChars="100"/>
              <w:rPr>
                <w:rFonts w:ascii="Times New Roman" w:hAnsi="Times New Roman" w:cs="Times New Roman"/>
                <w:color w:val="000000"/>
                <w:kern w:val="0"/>
                <w:sz w:val="24"/>
                <w:szCs w:val="20"/>
              </w:rPr>
            </w:pPr>
            <w:r>
              <w:rPr>
                <w:rFonts w:ascii="Times New Roman" w:hAnsi="Times New Roman" w:cs="Times New Roman"/>
                <w:color w:val="000000"/>
                <w:kern w:val="0"/>
                <w:sz w:val="24"/>
                <w:szCs w:val="20"/>
              </w:rPr>
              <w:t>当地农民满意度达到80%。（10分以下）</w:t>
            </w:r>
          </w:p>
          <w:p>
            <w:pPr>
              <w:ind w:firstLine="240" w:firstLineChars="100"/>
              <w:rPr>
                <w:rFonts w:ascii="Times New Roman" w:hAnsi="Times New Roman" w:cs="Times New Roman"/>
                <w:color w:val="000000"/>
                <w:kern w:val="0"/>
                <w:sz w:val="24"/>
                <w:szCs w:val="20"/>
              </w:rPr>
            </w:pPr>
            <w:r>
              <w:rPr>
                <w:rFonts w:ascii="Times New Roman" w:hAnsi="Times New Roman" w:cs="Times New Roman"/>
                <w:color w:val="000000"/>
                <w:kern w:val="0"/>
                <w:sz w:val="24"/>
                <w:szCs w:val="20"/>
              </w:rPr>
              <w:t>当地农民满意度达到85%。（11-15分）</w:t>
            </w:r>
          </w:p>
          <w:p>
            <w:pPr>
              <w:ind w:firstLine="240" w:firstLineChars="100"/>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当地农民满意度达到95%。（16-20分）</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20</w:t>
            </w:r>
          </w:p>
        </w:tc>
        <w:tc>
          <w:tcPr>
            <w:tcW w:w="81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746"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color w:val="000000"/>
                <w:kern w:val="0"/>
                <w:sz w:val="24"/>
                <w:szCs w:val="18"/>
              </w:rPr>
            </w:pPr>
            <w:r>
              <w:rPr>
                <w:rFonts w:ascii="Times New Roman" w:hAnsi="Times New Roman" w:eastAsia="宋体" w:cs="Times New Roman"/>
                <w:b/>
                <w:bCs/>
                <w:color w:val="000000"/>
                <w:kern w:val="0"/>
                <w:sz w:val="24"/>
                <w:szCs w:val="20"/>
              </w:rPr>
              <w:t>（四）经济社会效益好（</w:t>
            </w:r>
            <w:r>
              <w:rPr>
                <w:rFonts w:ascii="Times New Roman" w:hAnsi="Times New Roman" w:eastAsia="楷体_GB2312" w:cs="Times New Roman"/>
                <w:b/>
                <w:bCs/>
                <w:color w:val="000000"/>
                <w:kern w:val="0"/>
                <w:sz w:val="24"/>
                <w:szCs w:val="20"/>
              </w:rPr>
              <w:t>80</w:t>
            </w:r>
            <w:r>
              <w:rPr>
                <w:rFonts w:ascii="Times New Roman" w:hAnsi="Times New Roman" w:eastAsia="宋体" w:cs="Times New Roman"/>
                <w:b/>
                <w:bCs/>
                <w:color w:val="000000"/>
                <w:kern w:val="0"/>
                <w:sz w:val="24"/>
                <w:szCs w:val="20"/>
              </w:rPr>
              <w:t>）</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c>
          <w:tcPr>
            <w:tcW w:w="81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746"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kern w:val="0"/>
                <w:sz w:val="24"/>
                <w:szCs w:val="18"/>
              </w:rPr>
            </w:pPr>
            <w:r>
              <w:rPr>
                <w:rFonts w:ascii="Times New Roman" w:hAnsi="Times New Roman" w:cs="Times New Roman"/>
                <w:color w:val="000000"/>
                <w:kern w:val="0"/>
                <w:sz w:val="24"/>
                <w:szCs w:val="20"/>
              </w:rPr>
              <w:t>1.休闲农业或乡村旅游项目。</w:t>
            </w:r>
          </w:p>
          <w:p>
            <w:pPr>
              <w:ind w:firstLine="240" w:firstLineChars="100"/>
              <w:rPr>
                <w:rFonts w:ascii="Times New Roman" w:hAnsi="Times New Roman" w:cs="Times New Roman"/>
                <w:color w:val="000000"/>
                <w:kern w:val="0"/>
                <w:sz w:val="24"/>
                <w:szCs w:val="20"/>
              </w:rPr>
            </w:pPr>
            <w:r>
              <w:rPr>
                <w:rFonts w:ascii="Times New Roman" w:hAnsi="Times New Roman" w:cs="Times New Roman"/>
                <w:color w:val="000000"/>
                <w:kern w:val="0"/>
                <w:sz w:val="24"/>
                <w:szCs w:val="20"/>
              </w:rPr>
              <w:t xml:space="preserve">年营业收入500万元以上。 （20分以下） </w:t>
            </w:r>
          </w:p>
          <w:p>
            <w:pPr>
              <w:ind w:firstLine="240" w:firstLineChars="100"/>
              <w:rPr>
                <w:rFonts w:ascii="Times New Roman" w:hAnsi="Times New Roman" w:cs="Times New Roman"/>
                <w:color w:val="000000"/>
                <w:kern w:val="0"/>
                <w:sz w:val="24"/>
                <w:szCs w:val="20"/>
              </w:rPr>
            </w:pPr>
            <w:r>
              <w:rPr>
                <w:rFonts w:ascii="Times New Roman" w:hAnsi="Times New Roman" w:cs="Times New Roman"/>
                <w:color w:val="000000"/>
                <w:kern w:val="0"/>
                <w:sz w:val="24"/>
                <w:szCs w:val="20"/>
              </w:rPr>
              <w:t xml:space="preserve">年营业收入1500万元以上。（21-40分） </w:t>
            </w:r>
          </w:p>
          <w:p>
            <w:pPr>
              <w:ind w:firstLine="240" w:firstLineChars="100"/>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年营业收入2000万元以上。（41-60分）</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60</w:t>
            </w:r>
          </w:p>
        </w:tc>
        <w:tc>
          <w:tcPr>
            <w:tcW w:w="81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746"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cs="Times New Roman"/>
                <w:color w:val="000000"/>
                <w:kern w:val="0"/>
                <w:sz w:val="24"/>
                <w:szCs w:val="18"/>
              </w:rPr>
            </w:pPr>
            <w:r>
              <w:rPr>
                <w:rFonts w:ascii="Times New Roman" w:hAnsi="Times New Roman" w:cs="Times New Roman"/>
                <w:color w:val="000000"/>
                <w:kern w:val="0"/>
                <w:sz w:val="24"/>
                <w:szCs w:val="20"/>
              </w:rPr>
              <w:t>2.过去三年内企业（园区）荣获的荣誉：</w:t>
            </w:r>
          </w:p>
          <w:p>
            <w:pPr>
              <w:widowControl/>
              <w:ind w:firstLine="240" w:firstLineChars="100"/>
              <w:rPr>
                <w:rFonts w:ascii="Times New Roman" w:hAnsi="Times New Roman" w:cs="Times New Roman"/>
                <w:color w:val="000000"/>
                <w:kern w:val="0"/>
                <w:sz w:val="24"/>
                <w:szCs w:val="20"/>
              </w:rPr>
            </w:pPr>
            <w:r>
              <w:rPr>
                <w:rFonts w:ascii="Times New Roman" w:hAnsi="Times New Roman" w:cs="Times New Roman"/>
                <w:color w:val="000000"/>
                <w:kern w:val="0"/>
                <w:sz w:val="24"/>
                <w:szCs w:val="20"/>
              </w:rPr>
              <w:t>荣获市级荣誉和称号。  （每项5分）</w:t>
            </w:r>
          </w:p>
          <w:p>
            <w:pPr>
              <w:widowControl/>
              <w:ind w:firstLine="240" w:firstLineChars="100"/>
              <w:rPr>
                <w:rFonts w:ascii="Times New Roman" w:hAnsi="Times New Roman" w:cs="Times New Roman"/>
                <w:color w:val="000000"/>
                <w:kern w:val="0"/>
                <w:sz w:val="24"/>
                <w:szCs w:val="20"/>
              </w:rPr>
            </w:pPr>
            <w:r>
              <w:rPr>
                <w:rFonts w:ascii="Times New Roman" w:hAnsi="Times New Roman" w:cs="Times New Roman"/>
                <w:color w:val="000000"/>
                <w:kern w:val="0"/>
                <w:sz w:val="24"/>
                <w:szCs w:val="20"/>
              </w:rPr>
              <w:t>荣获省级荣誉和称号。  （每项10分）</w:t>
            </w:r>
          </w:p>
          <w:p>
            <w:pPr>
              <w:ind w:firstLine="240" w:firstLineChars="100"/>
              <w:rPr>
                <w:rFonts w:ascii="Times New Roman" w:hAnsi="Times New Roman" w:eastAsia="宋体" w:cs="Times New Roman"/>
                <w:color w:val="000000"/>
                <w:sz w:val="24"/>
                <w:szCs w:val="18"/>
              </w:rPr>
            </w:pPr>
            <w:r>
              <w:rPr>
                <w:rFonts w:ascii="Times New Roman" w:hAnsi="Times New Roman" w:cs="Times New Roman"/>
                <w:color w:val="000000"/>
                <w:kern w:val="0"/>
                <w:sz w:val="24"/>
                <w:szCs w:val="20"/>
              </w:rPr>
              <w:t>获得国家级荣誉和称号。（每项20分）</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20</w:t>
            </w:r>
          </w:p>
        </w:tc>
        <w:tc>
          <w:tcPr>
            <w:tcW w:w="81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588"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楷体_GB2312" w:cs="Times New Roman"/>
                <w:b/>
                <w:bCs/>
                <w:color w:val="000000"/>
                <w:kern w:val="0"/>
                <w:sz w:val="24"/>
                <w:szCs w:val="18"/>
              </w:rPr>
            </w:pPr>
            <w:r>
              <w:rPr>
                <w:rFonts w:ascii="Times New Roman" w:hAnsi="Times New Roman" w:eastAsia="宋体" w:cs="Times New Roman"/>
                <w:b/>
                <w:bCs/>
                <w:color w:val="000000"/>
                <w:kern w:val="0"/>
                <w:sz w:val="24"/>
                <w:szCs w:val="20"/>
              </w:rPr>
              <w:t>（五）发展后劲评估（</w:t>
            </w:r>
            <w:r>
              <w:rPr>
                <w:rFonts w:ascii="Times New Roman" w:hAnsi="Times New Roman" w:eastAsia="楷体_GB2312" w:cs="Times New Roman"/>
                <w:b/>
                <w:bCs/>
                <w:color w:val="000000"/>
                <w:kern w:val="0"/>
                <w:sz w:val="24"/>
                <w:szCs w:val="20"/>
              </w:rPr>
              <w:t>20</w:t>
            </w:r>
            <w:r>
              <w:rPr>
                <w:rFonts w:ascii="Times New Roman" w:hAnsi="Times New Roman" w:eastAsia="宋体" w:cs="Times New Roman"/>
                <w:b/>
                <w:bCs/>
                <w:color w:val="000000"/>
                <w:kern w:val="0"/>
                <w:sz w:val="24"/>
                <w:szCs w:val="20"/>
              </w:rPr>
              <w:t>分）</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c>
          <w:tcPr>
            <w:tcW w:w="81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746"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1.企业（园区）后续可开发利用的“三农”资源和农业体验项目多，可持续发展态势良好，已经编制具有指导性、前瞻性和可操作性的中长期发展规划。</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10</w:t>
            </w:r>
          </w:p>
        </w:tc>
        <w:tc>
          <w:tcPr>
            <w:tcW w:w="81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746"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2.企业（园区）有可依托的其它涉农经济实体，且经营状况良好。</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10</w:t>
            </w:r>
          </w:p>
        </w:tc>
        <w:tc>
          <w:tcPr>
            <w:tcW w:w="81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746"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b/>
                <w:bCs/>
                <w:color w:val="000000"/>
                <w:kern w:val="0"/>
                <w:sz w:val="24"/>
                <w:szCs w:val="18"/>
              </w:rPr>
            </w:pPr>
            <w:r>
              <w:rPr>
                <w:rFonts w:ascii="Times New Roman" w:hAnsi="Times New Roman" w:cs="Times New Roman"/>
                <w:b/>
                <w:bCs/>
                <w:color w:val="000000"/>
                <w:kern w:val="0"/>
                <w:sz w:val="24"/>
                <w:szCs w:val="20"/>
              </w:rPr>
              <w:t>第一大项得分总计</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24"/>
                <w:szCs w:val="18"/>
              </w:rPr>
            </w:pPr>
            <w:r>
              <w:rPr>
                <w:rFonts w:ascii="Times New Roman" w:hAnsi="Times New Roman" w:cs="Times New Roman"/>
                <w:b/>
                <w:bCs/>
                <w:color w:val="000000"/>
                <w:kern w:val="0"/>
                <w:sz w:val="24"/>
                <w:szCs w:val="20"/>
              </w:rPr>
              <w:t xml:space="preserve"> 400</w:t>
            </w:r>
          </w:p>
        </w:tc>
        <w:tc>
          <w:tcPr>
            <w:tcW w:w="810"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　</w:t>
            </w:r>
          </w:p>
        </w:tc>
        <w:tc>
          <w:tcPr>
            <w:tcW w:w="801"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　</w:t>
            </w:r>
          </w:p>
        </w:tc>
      </w:tr>
      <w:tr>
        <w:tblPrEx>
          <w:tblCellMar>
            <w:top w:w="0" w:type="dxa"/>
            <w:left w:w="108" w:type="dxa"/>
            <w:bottom w:w="0" w:type="dxa"/>
            <w:right w:w="108" w:type="dxa"/>
          </w:tblCellMar>
        </w:tblPrEx>
        <w:trPr>
          <w:trHeight w:val="746"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黑体" w:cs="Times New Roman"/>
                <w:color w:val="000000"/>
                <w:kern w:val="0"/>
                <w:sz w:val="24"/>
                <w:szCs w:val="18"/>
              </w:rPr>
            </w:pPr>
            <w:r>
              <w:rPr>
                <w:rFonts w:ascii="Times New Roman" w:hAnsi="Times New Roman" w:eastAsia="黑体" w:cs="Times New Roman"/>
                <w:color w:val="000000"/>
                <w:kern w:val="0"/>
                <w:sz w:val="24"/>
                <w:szCs w:val="20"/>
              </w:rPr>
              <w:t>二、基础硬件条件（200分）</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285"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r>
              <w:rPr>
                <w:rFonts w:ascii="Times New Roman" w:hAnsi="Times New Roman" w:cs="Times New Roman"/>
                <w:b/>
                <w:bCs/>
                <w:color w:val="000000"/>
                <w:kern w:val="0"/>
                <w:sz w:val="24"/>
                <w:szCs w:val="20"/>
              </w:rPr>
              <w:t>（一）游览条件（70分）</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　</w:t>
            </w:r>
          </w:p>
        </w:tc>
        <w:tc>
          <w:tcPr>
            <w:tcW w:w="80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24"/>
                <w:szCs w:val="18"/>
              </w:rPr>
            </w:pPr>
            <w:r>
              <w:rPr>
                <w:rFonts w:ascii="Times New Roman" w:hAnsi="Times New Roman" w:cs="Times New Roman"/>
                <w:b/>
                <w:bCs/>
                <w:color w:val="000000"/>
                <w:kern w:val="0"/>
                <w:sz w:val="24"/>
                <w:szCs w:val="20"/>
              </w:rPr>
              <w:t>　</w:t>
            </w:r>
          </w:p>
        </w:tc>
      </w:tr>
      <w:tr>
        <w:tblPrEx>
          <w:tblCellMar>
            <w:top w:w="0" w:type="dxa"/>
            <w:left w:w="108" w:type="dxa"/>
            <w:bottom w:w="0" w:type="dxa"/>
            <w:right w:w="108" w:type="dxa"/>
          </w:tblCellMar>
        </w:tblPrEx>
        <w:trPr>
          <w:trHeight w:val="285"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1.游客服务中心位置合理，规模适度，设施齐全，功能完整，有专业咨询服务人员</w:t>
            </w:r>
            <w:r>
              <w:rPr>
                <w:rStyle w:val="4"/>
                <w:rFonts w:ascii="Times New Roman" w:hAnsi="Times New Roman" w:cs="Times New Roman"/>
                <w:color w:val="000000"/>
                <w:sz w:val="18"/>
                <w:szCs w:val="18"/>
              </w:rPr>
              <w:t>。</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15</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　</w:t>
            </w:r>
          </w:p>
        </w:tc>
      </w:tr>
      <w:tr>
        <w:tblPrEx>
          <w:tblCellMar>
            <w:top w:w="0" w:type="dxa"/>
            <w:left w:w="108" w:type="dxa"/>
            <w:bottom w:w="0" w:type="dxa"/>
            <w:right w:w="108" w:type="dxa"/>
          </w:tblCellMar>
        </w:tblPrEx>
        <w:trPr>
          <w:trHeight w:val="285"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2.有各种标识牌和景物介绍牌，各种标牌位置合理，造型特色突出，艺术感和文化气息浓厚，与景观环境协调，能烘托总体环境。</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15</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285"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3.公共信息图形符号符合GB/T 10001.1-2006和GB/T 10001.2-2006标准。</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10</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24"/>
                <w:szCs w:val="18"/>
              </w:rPr>
            </w:pPr>
            <w:r>
              <w:rPr>
                <w:rFonts w:ascii="Times New Roman" w:hAnsi="Times New Roman" w:cs="Times New Roman"/>
                <w:b/>
                <w:bCs/>
                <w:color w:val="000000"/>
                <w:kern w:val="0"/>
                <w:sz w:val="24"/>
                <w:szCs w:val="20"/>
              </w:rPr>
              <w:t>　</w:t>
            </w:r>
          </w:p>
        </w:tc>
        <w:tc>
          <w:tcPr>
            <w:tcW w:w="80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285"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r>
              <w:rPr>
                <w:rFonts w:ascii="Times New Roman" w:hAnsi="Times New Roman" w:eastAsia="楷体_GB2312" w:cs="Times New Roman"/>
                <w:color w:val="000000"/>
                <w:kern w:val="0"/>
                <w:sz w:val="24"/>
                <w:szCs w:val="20"/>
              </w:rPr>
              <w:t xml:space="preserve">4. </w:t>
            </w:r>
            <w:r>
              <w:rPr>
                <w:rFonts w:ascii="Times New Roman" w:hAnsi="Times New Roman" w:cs="Times New Roman"/>
                <w:color w:val="000000"/>
                <w:kern w:val="0"/>
                <w:sz w:val="24"/>
                <w:szCs w:val="20"/>
              </w:rPr>
              <w:t>有农业科技教育厅（展览馆），配有必要的设备。</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10</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24"/>
                <w:szCs w:val="18"/>
              </w:rPr>
            </w:pPr>
          </w:p>
        </w:tc>
        <w:tc>
          <w:tcPr>
            <w:tcW w:w="80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285"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5.有游客公共休息设施且布局合理，数量充足，富有特色。</w:t>
            </w:r>
            <w:r>
              <w:rPr>
                <w:rFonts w:ascii="Times New Roman" w:hAnsi="Times New Roman" w:cs="Times New Roman"/>
                <w:color w:val="000000"/>
                <w:sz w:val="24"/>
                <w:szCs w:val="20"/>
              </w:rPr>
              <w:t> </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10</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510"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6. 企业（园区）内农田、农舍或农作场景内辟有专门参观通道。</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10</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　</w:t>
            </w:r>
          </w:p>
        </w:tc>
      </w:tr>
      <w:tr>
        <w:tblPrEx>
          <w:tblCellMar>
            <w:top w:w="0" w:type="dxa"/>
            <w:left w:w="108" w:type="dxa"/>
            <w:bottom w:w="0" w:type="dxa"/>
            <w:right w:w="108" w:type="dxa"/>
          </w:tblCellMar>
        </w:tblPrEx>
        <w:trPr>
          <w:trHeight w:val="510"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b/>
                <w:bCs/>
                <w:color w:val="000000"/>
                <w:kern w:val="0"/>
                <w:sz w:val="24"/>
                <w:szCs w:val="18"/>
              </w:rPr>
            </w:pPr>
            <w:r>
              <w:rPr>
                <w:rFonts w:ascii="Times New Roman" w:hAnsi="Times New Roman" w:cs="Times New Roman"/>
                <w:b/>
                <w:bCs/>
                <w:color w:val="000000"/>
                <w:kern w:val="0"/>
                <w:sz w:val="24"/>
                <w:szCs w:val="20"/>
              </w:rPr>
              <w:t>（二）食宿条件（70分）</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510"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楷体_GB2312" w:cs="Times New Roman"/>
                <w:b/>
                <w:bCs/>
                <w:color w:val="000000"/>
                <w:kern w:val="0"/>
                <w:sz w:val="24"/>
                <w:szCs w:val="18"/>
              </w:rPr>
            </w:pPr>
            <w:r>
              <w:rPr>
                <w:rFonts w:ascii="Times New Roman" w:hAnsi="Times New Roman" w:eastAsia="楷体_GB2312" w:cs="Times New Roman"/>
                <w:b/>
                <w:bCs/>
                <w:color w:val="000000"/>
                <w:kern w:val="0"/>
                <w:sz w:val="24"/>
                <w:szCs w:val="20"/>
              </w:rPr>
              <w:t>1.</w:t>
            </w:r>
            <w:r>
              <w:rPr>
                <w:rFonts w:ascii="Times New Roman" w:hAnsi="Times New Roman" w:eastAsia="宋体" w:cs="Times New Roman"/>
                <w:b/>
                <w:bCs/>
                <w:color w:val="000000"/>
                <w:kern w:val="0"/>
                <w:sz w:val="24"/>
                <w:szCs w:val="20"/>
              </w:rPr>
              <w:t>前厅</w:t>
            </w:r>
            <w:r>
              <w:rPr>
                <w:rFonts w:ascii="Times New Roman" w:hAnsi="Times New Roman" w:eastAsia="楷体_GB2312" w:cs="Times New Roman"/>
                <w:b/>
                <w:bCs/>
                <w:color w:val="000000"/>
                <w:kern w:val="0"/>
                <w:sz w:val="24"/>
                <w:szCs w:val="20"/>
              </w:rPr>
              <w:t>(5</w:t>
            </w:r>
            <w:r>
              <w:rPr>
                <w:rFonts w:ascii="Times New Roman" w:hAnsi="Times New Roman" w:eastAsia="宋体" w:cs="Times New Roman"/>
                <w:b/>
                <w:bCs/>
                <w:color w:val="000000"/>
                <w:kern w:val="0"/>
                <w:sz w:val="24"/>
                <w:szCs w:val="20"/>
              </w:rPr>
              <w:t>分</w:t>
            </w:r>
            <w:r>
              <w:rPr>
                <w:rFonts w:ascii="Times New Roman" w:hAnsi="Times New Roman" w:eastAsia="楷体_GB2312" w:cs="Times New Roman"/>
                <w:b/>
                <w:bCs/>
                <w:color w:val="000000"/>
                <w:kern w:val="0"/>
                <w:sz w:val="24"/>
                <w:szCs w:val="20"/>
              </w:rPr>
              <w:t>)</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510"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总服务台位于前厅显著位置，有装饰，光线好；接待人员以普通话提供接待、问询、结账和留言服务；提供行李存放服务、休息设施。</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5</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 xml:space="preserve">  </w:t>
            </w:r>
          </w:p>
        </w:tc>
      </w:tr>
      <w:tr>
        <w:tblPrEx>
          <w:tblCellMar>
            <w:top w:w="0" w:type="dxa"/>
            <w:left w:w="108" w:type="dxa"/>
            <w:bottom w:w="0" w:type="dxa"/>
            <w:right w:w="108" w:type="dxa"/>
          </w:tblCellMar>
        </w:tblPrEx>
        <w:trPr>
          <w:trHeight w:val="510"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r>
              <w:rPr>
                <w:rFonts w:ascii="Times New Roman" w:hAnsi="Times New Roman" w:eastAsia="楷体_GB2312" w:cs="Times New Roman"/>
                <w:b/>
                <w:bCs/>
                <w:color w:val="000000"/>
                <w:kern w:val="0"/>
                <w:sz w:val="24"/>
                <w:szCs w:val="20"/>
              </w:rPr>
              <w:t>2.</w:t>
            </w:r>
            <w:r>
              <w:rPr>
                <w:rFonts w:ascii="Times New Roman" w:hAnsi="Times New Roman" w:eastAsia="宋体" w:cs="Times New Roman"/>
                <w:b/>
                <w:bCs/>
                <w:color w:val="000000"/>
                <w:kern w:val="0"/>
                <w:sz w:val="24"/>
                <w:szCs w:val="20"/>
              </w:rPr>
              <w:t>客房（</w:t>
            </w:r>
            <w:r>
              <w:rPr>
                <w:rFonts w:ascii="Times New Roman" w:hAnsi="Times New Roman" w:eastAsia="楷体_GB2312" w:cs="Times New Roman"/>
                <w:b/>
                <w:bCs/>
                <w:color w:val="000000"/>
                <w:kern w:val="0"/>
                <w:sz w:val="24"/>
                <w:szCs w:val="20"/>
              </w:rPr>
              <w:t>15</w:t>
            </w:r>
            <w:r>
              <w:rPr>
                <w:rFonts w:ascii="Times New Roman" w:hAnsi="Times New Roman" w:eastAsia="宋体" w:cs="Times New Roman"/>
                <w:b/>
                <w:bCs/>
                <w:color w:val="000000"/>
                <w:kern w:val="0"/>
                <w:sz w:val="24"/>
                <w:szCs w:val="20"/>
              </w:rPr>
              <w:t>分）</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510"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 xml:space="preserve">1)能提供15间以上客房，或周边具备足够的住宿条件。  </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6</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510"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2)客房装修良好、具有浓郁的地方特色，门锁为暗锁、有防盗装置，有软垫床、桌、椅、床头柜等配套家具，有电视机和温控设备，卫生间全天供应冷热水，房间内有服务指南、价目表、宾客须知等。</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4</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24"/>
                <w:szCs w:val="18"/>
              </w:rPr>
            </w:pPr>
          </w:p>
        </w:tc>
        <w:tc>
          <w:tcPr>
            <w:tcW w:w="80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24"/>
                <w:szCs w:val="18"/>
              </w:rPr>
            </w:pPr>
            <w:r>
              <w:rPr>
                <w:rFonts w:ascii="Times New Roman" w:hAnsi="Times New Roman" w:cs="Times New Roman"/>
                <w:b/>
                <w:bCs/>
                <w:color w:val="000000"/>
                <w:kern w:val="0"/>
                <w:sz w:val="24"/>
                <w:szCs w:val="20"/>
              </w:rPr>
              <w:t>　</w:t>
            </w:r>
          </w:p>
        </w:tc>
      </w:tr>
      <w:tr>
        <w:tblPrEx>
          <w:tblCellMar>
            <w:top w:w="0" w:type="dxa"/>
            <w:left w:w="108" w:type="dxa"/>
            <w:bottom w:w="0" w:type="dxa"/>
            <w:right w:w="108" w:type="dxa"/>
          </w:tblCellMar>
        </w:tblPrEx>
        <w:trPr>
          <w:trHeight w:val="510"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 xml:space="preserve">3) 至少两种规格的电源插座，提供国际互联网接入服务。 </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3</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24"/>
                <w:szCs w:val="18"/>
              </w:rPr>
            </w:pPr>
          </w:p>
        </w:tc>
        <w:tc>
          <w:tcPr>
            <w:tcW w:w="80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24"/>
                <w:szCs w:val="18"/>
              </w:rPr>
            </w:pPr>
          </w:p>
        </w:tc>
      </w:tr>
      <w:tr>
        <w:tblPrEx>
          <w:tblCellMar>
            <w:top w:w="0" w:type="dxa"/>
            <w:left w:w="108" w:type="dxa"/>
            <w:bottom w:w="0" w:type="dxa"/>
            <w:right w:w="108" w:type="dxa"/>
          </w:tblCellMar>
        </w:tblPrEx>
        <w:trPr>
          <w:trHeight w:val="559"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4) 客房、卫生间每天全面整理一次，每客或应客人要求更换床单、被单及枕套。</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2</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567"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r>
              <w:rPr>
                <w:rFonts w:ascii="Times New Roman" w:hAnsi="Times New Roman" w:eastAsia="楷体_GB2312" w:cs="Times New Roman"/>
                <w:b/>
                <w:bCs/>
                <w:color w:val="000000"/>
                <w:kern w:val="0"/>
                <w:sz w:val="24"/>
                <w:szCs w:val="20"/>
              </w:rPr>
              <w:t>3.</w:t>
            </w:r>
            <w:r>
              <w:rPr>
                <w:rFonts w:ascii="Times New Roman" w:hAnsi="Times New Roman" w:eastAsia="宋体" w:cs="Times New Roman"/>
                <w:b/>
                <w:bCs/>
                <w:color w:val="000000"/>
                <w:kern w:val="0"/>
                <w:sz w:val="24"/>
                <w:szCs w:val="20"/>
              </w:rPr>
              <w:t>厨房（</w:t>
            </w:r>
            <w:r>
              <w:rPr>
                <w:rFonts w:ascii="Times New Roman" w:hAnsi="Times New Roman" w:eastAsia="楷体_GB2312" w:cs="Times New Roman"/>
                <w:b/>
                <w:bCs/>
                <w:color w:val="000000"/>
                <w:kern w:val="0"/>
                <w:sz w:val="24"/>
                <w:szCs w:val="20"/>
              </w:rPr>
              <w:t>30</w:t>
            </w:r>
            <w:r>
              <w:rPr>
                <w:rFonts w:ascii="Times New Roman" w:hAnsi="Times New Roman" w:eastAsia="宋体" w:cs="Times New Roman"/>
                <w:b/>
                <w:bCs/>
                <w:color w:val="000000"/>
                <w:kern w:val="0"/>
                <w:sz w:val="24"/>
                <w:szCs w:val="20"/>
              </w:rPr>
              <w:t>分）</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510"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1）厨房布局合理，使用面积与接待能力相适应，紧邻餐厅，厨房墙面满铺瓷砖，地面铺有防滑地砖，有地槽，有吊顶。</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6</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　</w:t>
            </w:r>
          </w:p>
        </w:tc>
        <w:tc>
          <w:tcPr>
            <w:tcW w:w="80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　</w:t>
            </w:r>
          </w:p>
        </w:tc>
      </w:tr>
      <w:tr>
        <w:tblPrEx>
          <w:tblCellMar>
            <w:top w:w="0" w:type="dxa"/>
            <w:left w:w="108" w:type="dxa"/>
            <w:bottom w:w="0" w:type="dxa"/>
            <w:right w:w="108" w:type="dxa"/>
          </w:tblCellMar>
        </w:tblPrEx>
        <w:trPr>
          <w:trHeight w:val="510"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2）厨房粗加工间、烹调间、面点间、冷菜间、洗碗间独立分隔，各操作间温度适宜，厨房有必要的冷藏、冷冻设施，冷菜间温度符合食品卫生标准，有食品库房和非食品库房，配有取菜口。</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6</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510"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3）厨房内有空气消毒设施，良好的通风排风排烟设施，有餐（饮）具洗涤池、清洗池、消毒池或消毒设施，蔬菜清洗池、肉类清洗池独立分设，有专门放置临时垃圾的设施并保持其封闭，专门的餐厨垃圾处理设施。</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6</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510"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4）厨房与餐厅之间，有起隔音、隔热和隔气味作用设施，有必要的消防设施，有消杀飞虫、爬虫的防范措施，有餐具。</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6</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510"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 xml:space="preserve">5）有外购大宗辅料、粮油、副食品等佐证资料（进货单、产品质量检验报告等）。 </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6</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510"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r>
              <w:rPr>
                <w:rFonts w:ascii="Times New Roman" w:hAnsi="Times New Roman" w:eastAsia="楷体_GB2312" w:cs="Times New Roman"/>
                <w:b/>
                <w:bCs/>
                <w:color w:val="000000"/>
                <w:kern w:val="0"/>
                <w:sz w:val="24"/>
                <w:szCs w:val="20"/>
              </w:rPr>
              <w:t>4.</w:t>
            </w:r>
            <w:r>
              <w:rPr>
                <w:rFonts w:ascii="Times New Roman" w:hAnsi="Times New Roman" w:eastAsia="宋体" w:cs="Times New Roman"/>
                <w:b/>
                <w:bCs/>
                <w:color w:val="000000"/>
                <w:kern w:val="0"/>
                <w:sz w:val="24"/>
                <w:szCs w:val="20"/>
              </w:rPr>
              <w:t>餐厅（</w:t>
            </w:r>
            <w:r>
              <w:rPr>
                <w:rFonts w:ascii="Times New Roman" w:hAnsi="Times New Roman" w:eastAsia="楷体_GB2312" w:cs="Times New Roman"/>
                <w:b/>
                <w:bCs/>
                <w:color w:val="000000"/>
                <w:kern w:val="0"/>
                <w:sz w:val="24"/>
                <w:szCs w:val="20"/>
              </w:rPr>
              <w:t>20</w:t>
            </w:r>
            <w:r>
              <w:rPr>
                <w:rFonts w:ascii="Times New Roman" w:hAnsi="Times New Roman" w:eastAsia="宋体" w:cs="Times New Roman"/>
                <w:b/>
                <w:bCs/>
                <w:color w:val="000000"/>
                <w:kern w:val="0"/>
                <w:sz w:val="24"/>
                <w:szCs w:val="20"/>
              </w:rPr>
              <w:t>分）</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510"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1)餐厅位置合理，地面已作硬化处理，防滑、易于清洗装潢美观大方，采光通风良好，整洁。</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5</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510"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2) 餐厅桌椅、用具、餐具、酒具、茶具等配套。有菜单及饮品单。菜单及饮品单印制装祯精美或富有特色。</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5</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510"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b/>
                <w:bCs/>
                <w:color w:val="000000"/>
                <w:kern w:val="0"/>
                <w:sz w:val="24"/>
                <w:szCs w:val="18"/>
              </w:rPr>
            </w:pPr>
            <w:r>
              <w:rPr>
                <w:rFonts w:ascii="Times New Roman" w:hAnsi="Times New Roman" w:cs="Times New Roman"/>
                <w:color w:val="000000"/>
                <w:kern w:val="0"/>
                <w:sz w:val="24"/>
                <w:szCs w:val="20"/>
              </w:rPr>
              <w:t xml:space="preserve">3)菜肴具有浓郁的农家风味和本地特色。  </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10</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510"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楷体_GB2312" w:cs="Times New Roman"/>
                <w:b/>
                <w:bCs/>
                <w:color w:val="000000"/>
                <w:kern w:val="0"/>
                <w:sz w:val="24"/>
                <w:szCs w:val="18"/>
              </w:rPr>
            </w:pPr>
            <w:r>
              <w:rPr>
                <w:rFonts w:ascii="Times New Roman" w:hAnsi="Times New Roman" w:eastAsia="宋体" w:cs="Times New Roman"/>
                <w:b/>
                <w:bCs/>
                <w:color w:val="000000"/>
                <w:kern w:val="0"/>
                <w:sz w:val="24"/>
                <w:szCs w:val="20"/>
              </w:rPr>
              <w:t>（三）交通条件（</w:t>
            </w:r>
            <w:r>
              <w:rPr>
                <w:rFonts w:ascii="Times New Roman" w:hAnsi="Times New Roman" w:eastAsia="楷体_GB2312" w:cs="Times New Roman"/>
                <w:b/>
                <w:bCs/>
                <w:color w:val="000000"/>
                <w:kern w:val="0"/>
                <w:sz w:val="24"/>
                <w:szCs w:val="20"/>
              </w:rPr>
              <w:t>30</w:t>
            </w:r>
            <w:r>
              <w:rPr>
                <w:rFonts w:ascii="Times New Roman" w:hAnsi="Times New Roman" w:eastAsia="宋体" w:cs="Times New Roman"/>
                <w:b/>
                <w:bCs/>
                <w:color w:val="000000"/>
                <w:kern w:val="0"/>
                <w:sz w:val="24"/>
                <w:szCs w:val="20"/>
              </w:rPr>
              <w:t>分）</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24"/>
                <w:szCs w:val="18"/>
              </w:rPr>
            </w:pP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510"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楷体_GB2312" w:cs="Times New Roman"/>
                <w:b/>
                <w:bCs/>
                <w:color w:val="000000"/>
                <w:kern w:val="0"/>
                <w:sz w:val="24"/>
                <w:szCs w:val="18"/>
              </w:rPr>
            </w:pPr>
            <w:r>
              <w:rPr>
                <w:rFonts w:ascii="Times New Roman" w:hAnsi="Times New Roman" w:cs="Times New Roman"/>
                <w:color w:val="000000"/>
                <w:kern w:val="0"/>
                <w:sz w:val="24"/>
                <w:szCs w:val="20"/>
              </w:rPr>
              <w:t>1.到达园区的道路交通设施完善、进出便捷。</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10</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510"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楷体_GB2312" w:cs="Times New Roman"/>
                <w:b/>
                <w:bCs/>
                <w:color w:val="000000"/>
                <w:kern w:val="0"/>
                <w:sz w:val="24"/>
                <w:szCs w:val="18"/>
              </w:rPr>
            </w:pPr>
            <w:r>
              <w:rPr>
                <w:rFonts w:ascii="Times New Roman" w:hAnsi="Times New Roman" w:cs="Times New Roman"/>
                <w:color w:val="000000"/>
                <w:kern w:val="0"/>
                <w:sz w:val="24"/>
                <w:szCs w:val="20"/>
              </w:rPr>
              <w:t>2.有专用停车场（船舶码头）、停车场容量能充分满足游客接待量要求，布局合理。</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10</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510"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楷体_GB2312" w:cs="Times New Roman"/>
                <w:b/>
                <w:bCs/>
                <w:color w:val="000000"/>
                <w:kern w:val="0"/>
                <w:sz w:val="24"/>
                <w:szCs w:val="18"/>
              </w:rPr>
            </w:pPr>
            <w:r>
              <w:rPr>
                <w:rFonts w:ascii="Times New Roman" w:hAnsi="Times New Roman" w:cs="Times New Roman"/>
                <w:color w:val="000000"/>
                <w:kern w:val="0"/>
                <w:sz w:val="24"/>
                <w:szCs w:val="20"/>
              </w:rPr>
              <w:t>3.停车场标志规范、醒目，绿化美观，与景观环境相协调；停车场有专人管理。</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10</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510"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b/>
                <w:bCs/>
                <w:color w:val="000000"/>
                <w:kern w:val="0"/>
                <w:sz w:val="24"/>
                <w:szCs w:val="18"/>
              </w:rPr>
            </w:pPr>
            <w:r>
              <w:rPr>
                <w:rFonts w:ascii="Times New Roman" w:hAnsi="Times New Roman" w:cs="Times New Roman"/>
                <w:b/>
                <w:bCs/>
                <w:color w:val="000000"/>
                <w:kern w:val="0"/>
                <w:sz w:val="24"/>
                <w:szCs w:val="20"/>
              </w:rPr>
              <w:t>（四）购物条件（30分）</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510"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1.有购物场所，购物场所与景观环境相协调，环境整洁，秩序良好，购物场所无围追兜售、强买强卖现象。</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5</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510"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2.供游客采摘、加工和所出售的农副产品达到“三品一标”之一。</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10</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510"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3.对园区内商品从业人员有统一管理措施，园区内商品执行有关退换货规定。</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5</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285"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 xml:space="preserve">4.园区内旅游商品地方特色突出。  </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10</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　</w:t>
            </w:r>
          </w:p>
        </w:tc>
        <w:tc>
          <w:tcPr>
            <w:tcW w:w="80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　</w:t>
            </w:r>
          </w:p>
        </w:tc>
      </w:tr>
      <w:tr>
        <w:tblPrEx>
          <w:tblCellMar>
            <w:top w:w="0" w:type="dxa"/>
            <w:left w:w="108" w:type="dxa"/>
            <w:bottom w:w="0" w:type="dxa"/>
            <w:right w:w="108" w:type="dxa"/>
          </w:tblCellMar>
        </w:tblPrEx>
        <w:trPr>
          <w:trHeight w:val="285"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b/>
                <w:bCs/>
                <w:color w:val="000000"/>
                <w:kern w:val="0"/>
                <w:sz w:val="24"/>
                <w:szCs w:val="18"/>
              </w:rPr>
            </w:pPr>
            <w:r>
              <w:rPr>
                <w:rFonts w:ascii="Times New Roman" w:hAnsi="Times New Roman" w:cs="Times New Roman"/>
                <w:b/>
                <w:bCs/>
                <w:color w:val="000000"/>
                <w:kern w:val="0"/>
                <w:sz w:val="24"/>
                <w:szCs w:val="20"/>
              </w:rPr>
              <w:t>第二大项得分总计</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24"/>
                <w:szCs w:val="18"/>
              </w:rPr>
            </w:pPr>
            <w:r>
              <w:rPr>
                <w:rFonts w:ascii="Times New Roman" w:hAnsi="Times New Roman" w:cs="Times New Roman"/>
                <w:b/>
                <w:bCs/>
                <w:color w:val="000000"/>
                <w:kern w:val="0"/>
                <w:sz w:val="24"/>
                <w:szCs w:val="20"/>
              </w:rPr>
              <w:t xml:space="preserve"> 200</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285"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黑体" w:cs="Times New Roman"/>
                <w:color w:val="000000"/>
                <w:kern w:val="0"/>
                <w:sz w:val="24"/>
                <w:szCs w:val="18"/>
              </w:rPr>
            </w:pPr>
            <w:r>
              <w:rPr>
                <w:rFonts w:ascii="Times New Roman" w:hAnsi="Times New Roman" w:eastAsia="黑体" w:cs="Times New Roman"/>
                <w:color w:val="000000"/>
                <w:kern w:val="0"/>
                <w:sz w:val="24"/>
                <w:szCs w:val="20"/>
              </w:rPr>
              <w:t>三、管理和服务条件（150分）</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285"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r>
              <w:rPr>
                <w:rFonts w:ascii="Times New Roman" w:hAnsi="Times New Roman" w:cs="Times New Roman"/>
                <w:b/>
                <w:bCs/>
                <w:color w:val="000000"/>
                <w:kern w:val="0"/>
                <w:sz w:val="24"/>
                <w:szCs w:val="20"/>
              </w:rPr>
              <w:t>（一）管理条件（50分）</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285"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1.内部管理规章制度健全，有投诉制度，投诉处理及时、妥善，档案记录完整。</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10</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285"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2.建设开发项目符合当地总体发展规划要求。</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15</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285"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3.有80%以上的从业人员经专业培训合格；关键岗位从业人员持证上岗；从业人员持证上岗率达到40%以上。</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15</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285"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4.管理层中需要专门资质的管理和专业技术人员全部取得相应的资格证书。</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10</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285"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楷体_GB2312" w:cs="Times New Roman"/>
                <w:b/>
                <w:bCs/>
                <w:color w:val="000000"/>
                <w:kern w:val="0"/>
                <w:sz w:val="24"/>
                <w:szCs w:val="18"/>
              </w:rPr>
            </w:pPr>
            <w:r>
              <w:rPr>
                <w:rFonts w:ascii="Times New Roman" w:hAnsi="Times New Roman" w:eastAsia="宋体" w:cs="Times New Roman"/>
                <w:b/>
                <w:bCs/>
                <w:color w:val="000000"/>
                <w:kern w:val="0"/>
                <w:sz w:val="24"/>
                <w:szCs w:val="20"/>
              </w:rPr>
              <w:t>（二）服务条件（</w:t>
            </w:r>
            <w:r>
              <w:rPr>
                <w:rFonts w:ascii="Times New Roman" w:hAnsi="Times New Roman" w:eastAsia="楷体_GB2312" w:cs="Times New Roman"/>
                <w:b/>
                <w:bCs/>
                <w:color w:val="000000"/>
                <w:kern w:val="0"/>
                <w:sz w:val="24"/>
                <w:szCs w:val="20"/>
              </w:rPr>
              <w:t>100</w:t>
            </w:r>
            <w:r>
              <w:rPr>
                <w:rFonts w:ascii="Times New Roman" w:hAnsi="Times New Roman" w:eastAsia="宋体" w:cs="Times New Roman"/>
                <w:b/>
                <w:bCs/>
                <w:color w:val="000000"/>
                <w:kern w:val="0"/>
                <w:sz w:val="24"/>
                <w:szCs w:val="20"/>
              </w:rPr>
              <w:t>分）</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285"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1.服务人员对客人礼貌、热情、友好，对客人一视同仁尽量满足客人的需求，服务过程中表情自然、亲切、热情适度，提倡微笑服务，对客人提出的问题暂时无法解决时，耐心解释并于事后设法解决，不推诿和应付。</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10</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285"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2.服务人员遵纪守法，诚信经营，保护客人的合法权益。</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5</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285"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3.服务人员统一着装、佩工牌上岗，仪容仪表端庄、大方，站、坐、行姿符合各岗位的规范与要求，让客人感到舒适。</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5</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285"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4.有导游讲解服务，人数及语种能满足游客需要，讲解词科学、准确、生动并具有针对性。</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10</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285"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5.休闲体验项目较多，吸引力较强，且紧密结合地方特色，乡土风情浓郁，文化深厚，项目内容不重复，有特色。（70分）</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1190"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1）农事活动（垂钓、捕捞、采摘、种植、挤奶、喂养等，每一项2分，5项以上满分，下同）</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12</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285"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2）农产品加工体验（制作豆腐、香油、糍粑、酿酒、奶制品等）和农村手工艺体验（扎风筝、剪纸、制陶、纺织、印染、玩具制作等）。</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12</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285"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3）节庆活动（西瓜节、杨梅节、农耕文化节、风筝节、油菜花节以及民俗文化、歌舞表演等。</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12</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285"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4）农村体育运动（骑马、登山、划船、漂流、摔跤、秋千、高跷、攀岩、蹦极、动物比赛、野外露营、烧烤、篝火等）。</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12</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285"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5）娱乐设施（包括多功能厅、歌舞厅、卡拉OK厅或KTV房、棋牌室、健身房、桌球室、乒乓球室、游戏室、茶室、篮球场、羽毛球场、网球场、保龄球馆、门球场、游泳池等）。</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12</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285"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6）为特定人群（老年人、儿童、残疾人等）配备旅游工具、用品及儿童娱乐场地及婴儿看护等特殊服务。</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10</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285"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b/>
                <w:bCs/>
                <w:color w:val="000000"/>
                <w:kern w:val="0"/>
                <w:sz w:val="24"/>
                <w:szCs w:val="18"/>
              </w:rPr>
            </w:pPr>
            <w:r>
              <w:rPr>
                <w:rFonts w:ascii="Times New Roman" w:hAnsi="Times New Roman" w:cs="Times New Roman"/>
                <w:b/>
                <w:bCs/>
                <w:color w:val="000000"/>
                <w:kern w:val="0"/>
                <w:sz w:val="24"/>
                <w:szCs w:val="20"/>
              </w:rPr>
              <w:t>第三大项得分总计</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24"/>
                <w:szCs w:val="18"/>
              </w:rPr>
            </w:pPr>
            <w:r>
              <w:rPr>
                <w:rFonts w:ascii="Times New Roman" w:hAnsi="Times New Roman" w:cs="Times New Roman"/>
                <w:b/>
                <w:bCs/>
                <w:color w:val="000000"/>
                <w:kern w:val="0"/>
                <w:sz w:val="24"/>
                <w:szCs w:val="20"/>
              </w:rPr>
              <w:t>150</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285"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黑体" w:cs="Times New Roman"/>
                <w:color w:val="000000"/>
                <w:kern w:val="0"/>
                <w:sz w:val="24"/>
                <w:szCs w:val="18"/>
              </w:rPr>
            </w:pPr>
            <w:r>
              <w:rPr>
                <w:rFonts w:ascii="Times New Roman" w:hAnsi="Times New Roman" w:eastAsia="黑体" w:cs="Times New Roman"/>
                <w:color w:val="000000"/>
                <w:sz w:val="24"/>
                <w:szCs w:val="20"/>
              </w:rPr>
              <w:t>四、生态环境条件（100分）</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285"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黑体" w:cs="Times New Roman"/>
                <w:color w:val="000000"/>
                <w:sz w:val="24"/>
                <w:szCs w:val="18"/>
              </w:rPr>
            </w:pPr>
            <w:r>
              <w:rPr>
                <w:rFonts w:ascii="Times New Roman" w:hAnsi="Times New Roman" w:cs="Times New Roman"/>
                <w:color w:val="000000"/>
                <w:kern w:val="0"/>
                <w:sz w:val="24"/>
                <w:szCs w:val="20"/>
              </w:rPr>
              <w:t>（一）自然生态保持良好，环境优美、空气清新、舒适宜人，乡村风情浓郁。</w:t>
            </w:r>
            <w:r>
              <w:rPr>
                <w:rFonts w:ascii="Times New Roman" w:hAnsi="Times New Roman" w:eastAsia="黑体" w:cs="Times New Roman"/>
                <w:color w:val="000000"/>
                <w:sz w:val="24"/>
                <w:szCs w:val="20"/>
              </w:rPr>
              <w:t> </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30</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285"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 xml:space="preserve">（二）企业（园区）建筑布局合理，建筑物体量、高度、色彩、造型与景观相协调；无违章建筑和私搭滥建行为；不造成环境污染和其他公害；开发建设过程中有效保护生态景观、文物古迹、传统民俗等自然资源、人文资源。 </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30</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285"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（三）企业（园区）周边环境和谐、无人为破坏、无建设性破坏、无污染单位和无脏乱差问题。</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20</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285"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kern w:val="0"/>
                <w:sz w:val="24"/>
                <w:szCs w:val="18"/>
              </w:rPr>
            </w:pPr>
            <w:r>
              <w:rPr>
                <w:rFonts w:ascii="Times New Roman" w:hAnsi="Times New Roman" w:cs="Times New Roman"/>
                <w:color w:val="000000"/>
                <w:kern w:val="0"/>
                <w:sz w:val="24"/>
                <w:szCs w:val="20"/>
              </w:rPr>
              <w:t>（四）建设项目通过环境评估：</w:t>
            </w:r>
          </w:p>
          <w:p>
            <w:pPr>
              <w:rPr>
                <w:rFonts w:ascii="Times New Roman" w:hAnsi="Times New Roman" w:cs="Times New Roman"/>
                <w:color w:val="000000"/>
                <w:kern w:val="0"/>
                <w:sz w:val="24"/>
                <w:szCs w:val="20"/>
              </w:rPr>
            </w:pPr>
            <w:r>
              <w:rPr>
                <w:rFonts w:ascii="Times New Roman" w:hAnsi="Times New Roman" w:cs="Times New Roman"/>
                <w:color w:val="000000"/>
                <w:kern w:val="0"/>
                <w:sz w:val="24"/>
                <w:szCs w:val="20"/>
              </w:rPr>
              <w:t>1）已通过省级环保部门环境评估，未对当地农业生产造成不利影响。(20分)</w:t>
            </w:r>
          </w:p>
          <w:p>
            <w:pP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2）已通过市级环保部门环境评估，未造成对生态环境的破坏和建设性破坏。(15分)</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20</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285"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b/>
                <w:bCs/>
                <w:color w:val="000000"/>
                <w:kern w:val="0"/>
                <w:sz w:val="24"/>
                <w:szCs w:val="18"/>
              </w:rPr>
            </w:pPr>
            <w:r>
              <w:rPr>
                <w:rFonts w:ascii="Times New Roman" w:hAnsi="Times New Roman" w:cs="Times New Roman"/>
                <w:b/>
                <w:bCs/>
                <w:color w:val="000000"/>
                <w:kern w:val="0"/>
                <w:sz w:val="24"/>
                <w:szCs w:val="20"/>
              </w:rPr>
              <w:t>第四大项得分总计</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24"/>
                <w:szCs w:val="18"/>
              </w:rPr>
            </w:pPr>
            <w:r>
              <w:rPr>
                <w:rFonts w:ascii="Times New Roman" w:hAnsi="Times New Roman" w:cs="Times New Roman"/>
                <w:b/>
                <w:bCs/>
                <w:color w:val="000000"/>
                <w:kern w:val="0"/>
                <w:sz w:val="24"/>
                <w:szCs w:val="20"/>
              </w:rPr>
              <w:t>100</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285"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widowControl/>
              <w:ind w:firstLine="240" w:firstLineChars="100"/>
              <w:rPr>
                <w:rFonts w:ascii="Times New Roman" w:hAnsi="Times New Roman" w:eastAsia="宋体" w:cs="Times New Roman"/>
                <w:color w:val="000000"/>
                <w:kern w:val="0"/>
                <w:sz w:val="24"/>
                <w:szCs w:val="18"/>
              </w:rPr>
            </w:pPr>
            <w:r>
              <w:rPr>
                <w:rFonts w:ascii="Times New Roman" w:hAnsi="Times New Roman" w:eastAsia="黑体" w:cs="Times New Roman"/>
                <w:color w:val="000000"/>
                <w:kern w:val="0"/>
                <w:sz w:val="24"/>
                <w:szCs w:val="20"/>
              </w:rPr>
              <w:t>五、安全与公共卫生条件（150分）</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285"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黑体" w:cs="Times New Roman"/>
                <w:color w:val="000000"/>
                <w:kern w:val="0"/>
                <w:sz w:val="24"/>
                <w:szCs w:val="18"/>
              </w:rPr>
            </w:pPr>
            <w:r>
              <w:rPr>
                <w:rFonts w:ascii="Times New Roman" w:hAnsi="Times New Roman" w:eastAsia="黑体" w:cs="Times New Roman"/>
                <w:color w:val="000000"/>
                <w:kern w:val="0"/>
                <w:sz w:val="24"/>
                <w:szCs w:val="20"/>
              </w:rPr>
              <w:t>（一）安全条件（70分）</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285"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1.认真执行有关部门制定和颁发的安全法规，并取得工商、卫生、环保、消防等部门的许可。</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20</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765"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2.危险地段标志明显，防护设施齐备、有效，特殊地段有专人看守。</w:t>
            </w:r>
          </w:p>
        </w:tc>
        <w:tc>
          <w:tcPr>
            <w:tcW w:w="810"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20</w:t>
            </w:r>
          </w:p>
        </w:tc>
        <w:tc>
          <w:tcPr>
            <w:tcW w:w="810" w:type="dxa"/>
            <w:tcBorders>
              <w:top w:val="single" w:color="auto" w:sz="4" w:space="0"/>
              <w:left w:val="nil"/>
              <w:bottom w:val="single" w:color="auto" w:sz="4" w:space="0"/>
              <w:right w:val="single" w:color="auto" w:sz="4" w:space="0"/>
            </w:tcBorders>
            <w:noWrap/>
            <w:vAlign w:val="center"/>
          </w:tcPr>
          <w:p>
            <w:pPr>
              <w:widowControl/>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ign w:val="center"/>
          </w:tcPr>
          <w:p>
            <w:pPr>
              <w:widowControl/>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285"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3.备有突发事件处理预案，建立紧急救援机制，设立医务室，并配备专（兼）职医务人员。</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20</w:t>
            </w:r>
          </w:p>
        </w:tc>
        <w:tc>
          <w:tcPr>
            <w:tcW w:w="810" w:type="dxa"/>
            <w:tcBorders>
              <w:top w:val="single" w:color="auto" w:sz="4" w:space="0"/>
              <w:left w:val="nil"/>
              <w:bottom w:val="single" w:color="auto" w:sz="4" w:space="0"/>
              <w:right w:val="single" w:color="auto" w:sz="4" w:space="0"/>
            </w:tcBorders>
            <w:noWrap/>
            <w:vAlign w:val="center"/>
          </w:tcPr>
          <w:p>
            <w:pPr>
              <w:widowControl/>
              <w:rPr>
                <w:rFonts w:ascii="Times New Roman" w:hAnsi="Times New Roman" w:eastAsia="宋体" w:cs="Times New Roman"/>
                <w:b/>
                <w:bCs/>
                <w:color w:val="000000"/>
                <w:kern w:val="0"/>
                <w:sz w:val="24"/>
                <w:szCs w:val="18"/>
              </w:rPr>
            </w:pPr>
          </w:p>
        </w:tc>
        <w:tc>
          <w:tcPr>
            <w:tcW w:w="801" w:type="dxa"/>
            <w:tcBorders>
              <w:top w:val="single" w:color="auto" w:sz="4" w:space="0"/>
              <w:left w:val="nil"/>
              <w:bottom w:val="single" w:color="auto" w:sz="4" w:space="0"/>
              <w:right w:val="single" w:color="auto" w:sz="4" w:space="0"/>
            </w:tcBorders>
            <w:noWrap/>
            <w:vAlign w:val="center"/>
          </w:tcPr>
          <w:p>
            <w:pPr>
              <w:widowControl/>
              <w:rPr>
                <w:rFonts w:ascii="Times New Roman" w:hAnsi="Times New Roman" w:eastAsia="宋体" w:cs="Times New Roman"/>
                <w:b/>
                <w:bCs/>
                <w:color w:val="000000"/>
                <w:kern w:val="0"/>
                <w:sz w:val="24"/>
                <w:szCs w:val="18"/>
              </w:rPr>
            </w:pPr>
          </w:p>
        </w:tc>
      </w:tr>
      <w:tr>
        <w:tblPrEx>
          <w:tblCellMar>
            <w:top w:w="0" w:type="dxa"/>
            <w:left w:w="108" w:type="dxa"/>
            <w:bottom w:w="0" w:type="dxa"/>
            <w:right w:w="108" w:type="dxa"/>
          </w:tblCellMar>
        </w:tblPrEx>
        <w:trPr>
          <w:trHeight w:val="285"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4.现场检查无安全隐患。</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10</w:t>
            </w:r>
          </w:p>
        </w:tc>
        <w:tc>
          <w:tcPr>
            <w:tcW w:w="810" w:type="dxa"/>
            <w:tcBorders>
              <w:top w:val="single" w:color="auto" w:sz="4" w:space="0"/>
              <w:left w:val="nil"/>
              <w:bottom w:val="single" w:color="auto" w:sz="4" w:space="0"/>
              <w:right w:val="single" w:color="auto" w:sz="4" w:space="0"/>
            </w:tcBorders>
            <w:noWrap/>
            <w:vAlign w:val="center"/>
          </w:tcPr>
          <w:p>
            <w:pPr>
              <w:widowControl/>
              <w:rPr>
                <w:rFonts w:ascii="Times New Roman" w:hAnsi="Times New Roman" w:eastAsia="宋体" w:cs="Times New Roman"/>
                <w:b/>
                <w:bCs/>
                <w:color w:val="000000"/>
                <w:kern w:val="0"/>
                <w:sz w:val="24"/>
                <w:szCs w:val="18"/>
              </w:rPr>
            </w:pPr>
          </w:p>
        </w:tc>
        <w:tc>
          <w:tcPr>
            <w:tcW w:w="801" w:type="dxa"/>
            <w:tcBorders>
              <w:top w:val="single" w:color="auto" w:sz="4" w:space="0"/>
              <w:left w:val="nil"/>
              <w:bottom w:val="single" w:color="auto" w:sz="4" w:space="0"/>
              <w:right w:val="single" w:color="auto" w:sz="4" w:space="0"/>
            </w:tcBorders>
            <w:noWrap/>
            <w:vAlign w:val="center"/>
          </w:tcPr>
          <w:p>
            <w:pPr>
              <w:widowControl/>
              <w:rPr>
                <w:rFonts w:ascii="Times New Roman" w:hAnsi="Times New Roman" w:eastAsia="宋体" w:cs="Times New Roman"/>
                <w:b/>
                <w:bCs/>
                <w:color w:val="000000"/>
                <w:kern w:val="0"/>
                <w:sz w:val="24"/>
                <w:szCs w:val="18"/>
              </w:rPr>
            </w:pPr>
          </w:p>
        </w:tc>
      </w:tr>
      <w:tr>
        <w:tblPrEx>
          <w:tblCellMar>
            <w:top w:w="0" w:type="dxa"/>
            <w:left w:w="108" w:type="dxa"/>
            <w:bottom w:w="0" w:type="dxa"/>
            <w:right w:w="108" w:type="dxa"/>
          </w:tblCellMar>
        </w:tblPrEx>
        <w:trPr>
          <w:trHeight w:val="285"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b/>
                <w:bCs/>
                <w:color w:val="000000"/>
                <w:kern w:val="0"/>
                <w:sz w:val="24"/>
                <w:szCs w:val="18"/>
              </w:rPr>
            </w:pPr>
            <w:r>
              <w:rPr>
                <w:rFonts w:ascii="Times New Roman" w:hAnsi="Times New Roman" w:cs="Times New Roman"/>
                <w:b/>
                <w:bCs/>
                <w:color w:val="000000"/>
                <w:kern w:val="0"/>
                <w:sz w:val="24"/>
                <w:szCs w:val="20"/>
              </w:rPr>
              <w:t>（二）</w:t>
            </w:r>
            <w:r>
              <w:rPr>
                <w:rFonts w:ascii="Times New Roman" w:hAnsi="Times New Roman" w:eastAsia="宋体" w:cs="Times New Roman"/>
                <w:b/>
                <w:bCs/>
                <w:color w:val="000000"/>
                <w:kern w:val="0"/>
                <w:sz w:val="24"/>
                <w:szCs w:val="20"/>
              </w:rPr>
              <w:t>公共卫生条件（</w:t>
            </w:r>
            <w:r>
              <w:rPr>
                <w:rFonts w:ascii="Times New Roman" w:hAnsi="Times New Roman" w:eastAsia="楷体_GB2312" w:cs="Times New Roman"/>
                <w:b/>
                <w:bCs/>
                <w:color w:val="000000"/>
                <w:kern w:val="0"/>
                <w:sz w:val="24"/>
                <w:szCs w:val="20"/>
              </w:rPr>
              <w:t>80</w:t>
            </w:r>
            <w:r>
              <w:rPr>
                <w:rFonts w:ascii="Times New Roman" w:hAnsi="Times New Roman" w:eastAsia="宋体" w:cs="Times New Roman"/>
                <w:b/>
                <w:bCs/>
                <w:color w:val="000000"/>
                <w:kern w:val="0"/>
                <w:sz w:val="24"/>
                <w:szCs w:val="20"/>
              </w:rPr>
              <w:t>分）</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p>
        </w:tc>
        <w:tc>
          <w:tcPr>
            <w:tcW w:w="810" w:type="dxa"/>
            <w:tcBorders>
              <w:top w:val="single" w:color="auto" w:sz="4" w:space="0"/>
              <w:left w:val="nil"/>
              <w:bottom w:val="single" w:color="auto" w:sz="4" w:space="0"/>
              <w:right w:val="single" w:color="auto" w:sz="4" w:space="0"/>
            </w:tcBorders>
            <w:noWrap/>
            <w:vAlign w:val="center"/>
          </w:tcPr>
          <w:p>
            <w:pPr>
              <w:widowControl/>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ign w:val="center"/>
          </w:tcPr>
          <w:p>
            <w:pPr>
              <w:widowControl/>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285"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1.园区内干净整洁，无污水、污物，无乱堆、乱放、乱建现象，建筑物及各种设施设备无剥落、无污垢。</w:t>
            </w:r>
          </w:p>
        </w:tc>
        <w:tc>
          <w:tcPr>
            <w:tcW w:w="810"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10</w:t>
            </w:r>
          </w:p>
        </w:tc>
        <w:tc>
          <w:tcPr>
            <w:tcW w:w="810" w:type="dxa"/>
            <w:tcBorders>
              <w:top w:val="single" w:color="auto" w:sz="4" w:space="0"/>
              <w:left w:val="nil"/>
              <w:bottom w:val="single" w:color="auto" w:sz="4" w:space="0"/>
              <w:right w:val="single" w:color="auto" w:sz="4" w:space="0"/>
            </w:tcBorders>
            <w:noWrap/>
            <w:vAlign w:val="center"/>
          </w:tcPr>
          <w:p>
            <w:pPr>
              <w:widowControl/>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ign w:val="center"/>
          </w:tcPr>
          <w:p>
            <w:pPr>
              <w:widowControl/>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285"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2.公共厕所（30分）</w:t>
            </w:r>
          </w:p>
        </w:tc>
        <w:tc>
          <w:tcPr>
            <w:tcW w:w="810"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宋体" w:cs="Times New Roman"/>
                <w:b/>
                <w:bCs/>
                <w:color w:val="000000"/>
                <w:kern w:val="0"/>
                <w:sz w:val="24"/>
                <w:szCs w:val="18"/>
              </w:rPr>
            </w:pPr>
          </w:p>
        </w:tc>
        <w:tc>
          <w:tcPr>
            <w:tcW w:w="810" w:type="dxa"/>
            <w:tcBorders>
              <w:top w:val="single" w:color="auto" w:sz="4" w:space="0"/>
              <w:left w:val="nil"/>
              <w:bottom w:val="single" w:color="auto" w:sz="4" w:space="0"/>
              <w:right w:val="single" w:color="auto" w:sz="4" w:space="0"/>
            </w:tcBorders>
            <w:noWrap/>
            <w:vAlign w:val="center"/>
          </w:tcPr>
          <w:p>
            <w:pPr>
              <w:widowControl/>
              <w:rPr>
                <w:rFonts w:ascii="Times New Roman" w:hAnsi="Times New Roman" w:eastAsia="宋体" w:cs="Times New Roman"/>
                <w:b/>
                <w:bCs/>
                <w:color w:val="000000"/>
                <w:kern w:val="0"/>
                <w:sz w:val="24"/>
                <w:szCs w:val="18"/>
              </w:rPr>
            </w:pPr>
          </w:p>
        </w:tc>
        <w:tc>
          <w:tcPr>
            <w:tcW w:w="801" w:type="dxa"/>
            <w:tcBorders>
              <w:top w:val="single" w:color="auto" w:sz="4" w:space="0"/>
              <w:left w:val="nil"/>
              <w:bottom w:val="single" w:color="auto" w:sz="4" w:space="0"/>
              <w:right w:val="single" w:color="auto" w:sz="4" w:space="0"/>
            </w:tcBorders>
            <w:noWrap/>
            <w:vAlign w:val="center"/>
          </w:tcPr>
          <w:p>
            <w:pPr>
              <w:widowControl/>
              <w:rPr>
                <w:rFonts w:ascii="Times New Roman" w:hAnsi="Times New Roman" w:eastAsia="宋体" w:cs="Times New Roman"/>
                <w:b/>
                <w:bCs/>
                <w:color w:val="000000"/>
                <w:kern w:val="0"/>
                <w:sz w:val="24"/>
                <w:szCs w:val="18"/>
              </w:rPr>
            </w:pPr>
          </w:p>
        </w:tc>
      </w:tr>
      <w:tr>
        <w:tblPrEx>
          <w:tblCellMar>
            <w:top w:w="0" w:type="dxa"/>
            <w:left w:w="108" w:type="dxa"/>
            <w:bottom w:w="0" w:type="dxa"/>
            <w:right w:w="108" w:type="dxa"/>
          </w:tblCellMar>
        </w:tblPrEx>
        <w:trPr>
          <w:trHeight w:val="510"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1)布局合理，数量能满足需要。男女卫生间分开设置，标识醒目美观，建筑造型景观化，与周边环境和建筑相协调。</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6</w:t>
            </w:r>
          </w:p>
        </w:tc>
        <w:tc>
          <w:tcPr>
            <w:tcW w:w="810" w:type="dxa"/>
            <w:tcBorders>
              <w:top w:val="single" w:color="auto" w:sz="4" w:space="0"/>
              <w:left w:val="nil"/>
              <w:bottom w:val="single" w:color="auto" w:sz="4" w:space="0"/>
              <w:right w:val="single" w:color="auto" w:sz="4" w:space="0"/>
            </w:tcBorders>
            <w:noWrap/>
            <w:vAlign w:val="center"/>
          </w:tcPr>
          <w:p>
            <w:pPr>
              <w:widowControl/>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ign w:val="center"/>
          </w:tcPr>
          <w:p>
            <w:pPr>
              <w:widowControl/>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510"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2) 设施齐全，配有手纸、手纸框、挂衣钩、洗手池（配备洗涤品）、烘手器、镜台。</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6</w:t>
            </w:r>
          </w:p>
        </w:tc>
        <w:tc>
          <w:tcPr>
            <w:tcW w:w="810" w:type="dxa"/>
            <w:tcBorders>
              <w:top w:val="single" w:color="auto" w:sz="4" w:space="0"/>
              <w:left w:val="nil"/>
              <w:bottom w:val="single" w:color="auto" w:sz="4" w:space="0"/>
              <w:right w:val="single" w:color="auto" w:sz="4" w:space="0"/>
            </w:tcBorders>
            <w:noWrap/>
            <w:vAlign w:val="center"/>
          </w:tcPr>
          <w:p>
            <w:pPr>
              <w:widowControl/>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ign w:val="center"/>
          </w:tcPr>
          <w:p>
            <w:pPr>
              <w:widowControl/>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510"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3)厕所设专人打扫与服务，室内整洁，无异味；洁具洁净、无污垢、无堵塞。</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6</w:t>
            </w:r>
          </w:p>
        </w:tc>
        <w:tc>
          <w:tcPr>
            <w:tcW w:w="810" w:type="dxa"/>
            <w:tcBorders>
              <w:top w:val="single" w:color="auto" w:sz="4" w:space="0"/>
              <w:left w:val="nil"/>
              <w:bottom w:val="single" w:color="auto" w:sz="4" w:space="0"/>
              <w:right w:val="single" w:color="auto" w:sz="4" w:space="0"/>
            </w:tcBorders>
            <w:noWrap/>
            <w:vAlign w:val="center"/>
          </w:tcPr>
          <w:p>
            <w:pPr>
              <w:widowControl/>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ign w:val="center"/>
          </w:tcPr>
          <w:p>
            <w:pPr>
              <w:widowControl/>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510"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4)有单独设置化粪池，防渗、防腐、密封，能有效处理粪便。</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6</w:t>
            </w:r>
          </w:p>
        </w:tc>
        <w:tc>
          <w:tcPr>
            <w:tcW w:w="810" w:type="dxa"/>
            <w:tcBorders>
              <w:top w:val="single" w:color="auto" w:sz="4" w:space="0"/>
              <w:left w:val="nil"/>
              <w:bottom w:val="single" w:color="auto" w:sz="4" w:space="0"/>
              <w:right w:val="single" w:color="auto" w:sz="4" w:space="0"/>
            </w:tcBorders>
            <w:noWrap/>
            <w:vAlign w:val="center"/>
          </w:tcPr>
          <w:p>
            <w:pPr>
              <w:widowControl/>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ign w:val="center"/>
          </w:tcPr>
          <w:p>
            <w:pPr>
              <w:widowControl/>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510"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5)有符合循环经济的粪便处理设施。</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6</w:t>
            </w:r>
          </w:p>
        </w:tc>
        <w:tc>
          <w:tcPr>
            <w:tcW w:w="810" w:type="dxa"/>
            <w:tcBorders>
              <w:top w:val="single" w:color="auto" w:sz="4" w:space="0"/>
              <w:left w:val="nil"/>
              <w:bottom w:val="single" w:color="auto" w:sz="4" w:space="0"/>
              <w:right w:val="single" w:color="auto" w:sz="4" w:space="0"/>
            </w:tcBorders>
            <w:noWrap/>
            <w:vAlign w:val="center"/>
          </w:tcPr>
          <w:p>
            <w:pPr>
              <w:widowControl/>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ign w:val="center"/>
          </w:tcPr>
          <w:p>
            <w:pPr>
              <w:widowControl/>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510"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3.园区内垃圾箱布局合理，标识明显，造型美观独特，与环境相协调。垃圾箱分类设置，垃圾清扫及时，日产日清。</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15</w:t>
            </w:r>
          </w:p>
        </w:tc>
        <w:tc>
          <w:tcPr>
            <w:tcW w:w="810" w:type="dxa"/>
            <w:tcBorders>
              <w:top w:val="single" w:color="auto" w:sz="4" w:space="0"/>
              <w:left w:val="nil"/>
              <w:bottom w:val="single" w:color="auto" w:sz="4" w:space="0"/>
              <w:right w:val="single" w:color="auto" w:sz="4" w:space="0"/>
            </w:tcBorders>
            <w:noWrap/>
            <w:vAlign w:val="center"/>
          </w:tcPr>
          <w:p>
            <w:pPr>
              <w:widowControl/>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ign w:val="center"/>
          </w:tcPr>
          <w:p>
            <w:pPr>
              <w:widowControl/>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510"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4.园区内及农户居住区污水排放不污染农田、地面、河流、湖泊等。</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15</w:t>
            </w:r>
          </w:p>
        </w:tc>
        <w:tc>
          <w:tcPr>
            <w:tcW w:w="810" w:type="dxa"/>
            <w:tcBorders>
              <w:top w:val="single" w:color="auto" w:sz="4" w:space="0"/>
              <w:left w:val="nil"/>
              <w:bottom w:val="single" w:color="auto" w:sz="4" w:space="0"/>
              <w:right w:val="single" w:color="auto" w:sz="4" w:space="0"/>
            </w:tcBorders>
            <w:noWrap/>
            <w:vAlign w:val="center"/>
          </w:tcPr>
          <w:p>
            <w:pPr>
              <w:widowControl/>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ign w:val="center"/>
          </w:tcPr>
          <w:p>
            <w:pPr>
              <w:widowControl/>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510"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5.食品卫生从业人员有健康证，知晓食品卫生知识；不使用对环境造成污染的一次性餐具。</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10</w:t>
            </w:r>
          </w:p>
        </w:tc>
        <w:tc>
          <w:tcPr>
            <w:tcW w:w="810" w:type="dxa"/>
            <w:tcBorders>
              <w:top w:val="single" w:color="auto" w:sz="4" w:space="0"/>
              <w:left w:val="nil"/>
              <w:bottom w:val="single" w:color="auto" w:sz="4" w:space="0"/>
              <w:right w:val="single" w:color="auto" w:sz="4" w:space="0"/>
            </w:tcBorders>
            <w:noWrap/>
            <w:vAlign w:val="center"/>
          </w:tcPr>
          <w:p>
            <w:pPr>
              <w:widowControl/>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ign w:val="center"/>
          </w:tcPr>
          <w:p>
            <w:pPr>
              <w:widowControl/>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510"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b/>
                <w:bCs/>
                <w:color w:val="000000"/>
                <w:kern w:val="0"/>
                <w:sz w:val="24"/>
                <w:szCs w:val="18"/>
              </w:rPr>
            </w:pPr>
            <w:r>
              <w:rPr>
                <w:rFonts w:ascii="Times New Roman" w:hAnsi="Times New Roman" w:cs="Times New Roman"/>
                <w:b/>
                <w:bCs/>
                <w:color w:val="000000"/>
                <w:kern w:val="0"/>
                <w:sz w:val="24"/>
                <w:szCs w:val="20"/>
              </w:rPr>
              <w:t>第五大项得分总计</w:t>
            </w:r>
          </w:p>
        </w:tc>
        <w:tc>
          <w:tcPr>
            <w:tcW w:w="81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24"/>
                <w:szCs w:val="18"/>
              </w:rPr>
            </w:pPr>
            <w:r>
              <w:rPr>
                <w:rFonts w:ascii="Times New Roman" w:hAnsi="Times New Roman" w:cs="Times New Roman"/>
                <w:b/>
                <w:bCs/>
                <w:color w:val="000000"/>
                <w:kern w:val="0"/>
                <w:sz w:val="24"/>
                <w:szCs w:val="20"/>
              </w:rPr>
              <w:t>150</w:t>
            </w:r>
          </w:p>
        </w:tc>
        <w:tc>
          <w:tcPr>
            <w:tcW w:w="810" w:type="dxa"/>
            <w:tcBorders>
              <w:top w:val="single" w:color="auto" w:sz="4" w:space="0"/>
              <w:left w:val="nil"/>
              <w:bottom w:val="single" w:color="auto" w:sz="4" w:space="0"/>
              <w:right w:val="single" w:color="auto" w:sz="4" w:space="0"/>
            </w:tcBorders>
            <w:noWrap/>
            <w:vAlign w:val="center"/>
          </w:tcPr>
          <w:p>
            <w:pPr>
              <w:widowControl/>
              <w:rPr>
                <w:rFonts w:ascii="Times New Roman" w:hAnsi="Times New Roman" w:eastAsia="宋体" w:cs="Times New Roman"/>
                <w:color w:val="000000"/>
                <w:kern w:val="0"/>
                <w:sz w:val="24"/>
                <w:szCs w:val="18"/>
              </w:rPr>
            </w:pPr>
          </w:p>
        </w:tc>
        <w:tc>
          <w:tcPr>
            <w:tcW w:w="801" w:type="dxa"/>
            <w:tcBorders>
              <w:top w:val="single" w:color="auto" w:sz="4" w:space="0"/>
              <w:left w:val="nil"/>
              <w:bottom w:val="single" w:color="auto" w:sz="4" w:space="0"/>
              <w:right w:val="single" w:color="auto" w:sz="4" w:space="0"/>
            </w:tcBorders>
            <w:noWrap/>
            <w:vAlign w:val="center"/>
          </w:tcPr>
          <w:p>
            <w:pPr>
              <w:widowControl/>
              <w:rPr>
                <w:rFonts w:ascii="Times New Roman" w:hAnsi="Times New Roman" w:eastAsia="宋体" w:cs="Times New Roman"/>
                <w:color w:val="000000"/>
                <w:kern w:val="0"/>
                <w:sz w:val="24"/>
                <w:szCs w:val="18"/>
              </w:rPr>
            </w:pPr>
          </w:p>
        </w:tc>
      </w:tr>
      <w:tr>
        <w:tblPrEx>
          <w:tblCellMar>
            <w:top w:w="0" w:type="dxa"/>
            <w:left w:w="108" w:type="dxa"/>
            <w:bottom w:w="0" w:type="dxa"/>
            <w:right w:w="108" w:type="dxa"/>
          </w:tblCellMar>
        </w:tblPrEx>
        <w:trPr>
          <w:trHeight w:val="577" w:hRule="atLeast"/>
          <w:jc w:val="center"/>
        </w:trPr>
        <w:tc>
          <w:tcPr>
            <w:tcW w:w="657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合计</w:t>
            </w:r>
          </w:p>
        </w:tc>
        <w:tc>
          <w:tcPr>
            <w:tcW w:w="810"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1000</w:t>
            </w:r>
          </w:p>
        </w:tc>
        <w:tc>
          <w:tcPr>
            <w:tcW w:w="810" w:type="dxa"/>
            <w:tcBorders>
              <w:top w:val="single" w:color="auto" w:sz="4" w:space="0"/>
              <w:left w:val="nil"/>
              <w:bottom w:val="single" w:color="auto" w:sz="4" w:space="0"/>
              <w:right w:val="single" w:color="auto" w:sz="4" w:space="0"/>
            </w:tcBorders>
            <w:noWrap/>
            <w:vAlign w:val="center"/>
          </w:tcPr>
          <w:p>
            <w:pPr>
              <w:widowControl/>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　</w:t>
            </w:r>
          </w:p>
        </w:tc>
        <w:tc>
          <w:tcPr>
            <w:tcW w:w="801" w:type="dxa"/>
            <w:tcBorders>
              <w:top w:val="single" w:color="auto" w:sz="4" w:space="0"/>
              <w:left w:val="nil"/>
              <w:bottom w:val="single" w:color="auto" w:sz="4" w:space="0"/>
              <w:right w:val="single" w:color="auto" w:sz="4" w:space="0"/>
            </w:tcBorders>
            <w:noWrap/>
            <w:vAlign w:val="center"/>
          </w:tcPr>
          <w:p>
            <w:pPr>
              <w:widowControl/>
              <w:rPr>
                <w:rFonts w:ascii="Times New Roman" w:hAnsi="Times New Roman" w:eastAsia="宋体" w:cs="Times New Roman"/>
                <w:color w:val="000000"/>
                <w:kern w:val="0"/>
                <w:sz w:val="24"/>
                <w:szCs w:val="18"/>
              </w:rPr>
            </w:pPr>
            <w:r>
              <w:rPr>
                <w:rFonts w:ascii="Times New Roman" w:hAnsi="Times New Roman" w:cs="Times New Roman"/>
                <w:color w:val="000000"/>
                <w:kern w:val="0"/>
                <w:sz w:val="24"/>
                <w:szCs w:val="20"/>
              </w:rPr>
              <w:t>　</w:t>
            </w:r>
          </w:p>
        </w:tc>
      </w:tr>
      <w:tr>
        <w:tblPrEx>
          <w:tblCellMar>
            <w:top w:w="0" w:type="dxa"/>
            <w:left w:w="108" w:type="dxa"/>
            <w:bottom w:w="0" w:type="dxa"/>
            <w:right w:w="108" w:type="dxa"/>
          </w:tblCellMar>
        </w:tblPrEx>
        <w:trPr>
          <w:trHeight w:val="550" w:hRule="atLeast"/>
          <w:jc w:val="center"/>
        </w:trPr>
        <w:tc>
          <w:tcPr>
            <w:tcW w:w="8997" w:type="dxa"/>
            <w:gridSpan w:val="4"/>
            <w:tcBorders>
              <w:top w:val="nil"/>
              <w:left w:val="single" w:color="auto" w:sz="4" w:space="0"/>
              <w:bottom w:val="single" w:color="auto" w:sz="4" w:space="0"/>
              <w:right w:val="single" w:color="auto" w:sz="4" w:space="0"/>
            </w:tcBorders>
            <w:noWrap w:val="0"/>
            <w:vAlign w:val="center"/>
          </w:tcPr>
          <w:p>
            <w:pPr>
              <w:rPr>
                <w:rFonts w:ascii="Times New Roman" w:hAnsi="Times New Roman" w:eastAsia="楷体_GB2312" w:cs="Times New Roman"/>
                <w:color w:val="000000"/>
                <w:kern w:val="0"/>
                <w:sz w:val="21"/>
                <w:szCs w:val="21"/>
              </w:rPr>
            </w:pPr>
            <w:r>
              <w:rPr>
                <w:rFonts w:ascii="Times New Roman" w:hAnsi="Times New Roman" w:eastAsia="宋体" w:cs="Times New Roman"/>
                <w:color w:val="000000"/>
                <w:kern w:val="0"/>
                <w:sz w:val="21"/>
                <w:szCs w:val="21"/>
              </w:rPr>
              <w:t>说明</w:t>
            </w:r>
            <w:r>
              <w:rPr>
                <w:rFonts w:ascii="Times New Roman" w:hAnsi="Times New Roman" w:eastAsia="楷体_GB2312" w:cs="Times New Roman"/>
                <w:color w:val="000000"/>
                <w:kern w:val="0"/>
                <w:sz w:val="21"/>
                <w:szCs w:val="21"/>
              </w:rPr>
              <w:t>:</w:t>
            </w:r>
            <w:r>
              <w:rPr>
                <w:rFonts w:ascii="Times New Roman" w:hAnsi="Times New Roman" w:eastAsia="楷体_GB2312" w:cs="Times New Roman"/>
                <w:color w:val="000000"/>
                <w:sz w:val="21"/>
                <w:szCs w:val="21"/>
              </w:rPr>
              <w:t> </w:t>
            </w:r>
            <w:r>
              <w:rPr>
                <w:rFonts w:ascii="Times New Roman" w:hAnsi="Times New Roman" w:eastAsia="宋体" w:cs="Times New Roman"/>
                <w:color w:val="000000"/>
                <w:kern w:val="0"/>
                <w:sz w:val="21"/>
                <w:szCs w:val="21"/>
              </w:rPr>
              <w:t>三星级：</w:t>
            </w:r>
            <w:r>
              <w:rPr>
                <w:rFonts w:ascii="Times New Roman" w:hAnsi="Times New Roman" w:eastAsia="楷体_GB2312" w:cs="Times New Roman"/>
                <w:color w:val="000000"/>
                <w:kern w:val="0"/>
                <w:sz w:val="21"/>
                <w:szCs w:val="21"/>
              </w:rPr>
              <w:t>600-799</w:t>
            </w:r>
            <w:r>
              <w:rPr>
                <w:rFonts w:ascii="Times New Roman" w:hAnsi="Times New Roman" w:eastAsia="宋体" w:cs="Times New Roman"/>
                <w:color w:val="000000"/>
                <w:kern w:val="0"/>
                <w:sz w:val="21"/>
                <w:szCs w:val="21"/>
              </w:rPr>
              <w:t>分，且每一大项得分不低于该项总分的</w:t>
            </w:r>
            <w:r>
              <w:rPr>
                <w:rFonts w:ascii="Times New Roman" w:hAnsi="Times New Roman" w:eastAsia="楷体_GB2312" w:cs="Times New Roman"/>
                <w:color w:val="000000"/>
                <w:kern w:val="0"/>
                <w:sz w:val="21"/>
                <w:szCs w:val="21"/>
              </w:rPr>
              <w:t>60%</w:t>
            </w:r>
            <w:r>
              <w:rPr>
                <w:rFonts w:ascii="Times New Roman" w:hAnsi="Times New Roman" w:eastAsia="宋体" w:cs="Times New Roman"/>
                <w:color w:val="000000"/>
                <w:kern w:val="0"/>
                <w:sz w:val="21"/>
                <w:szCs w:val="21"/>
              </w:rPr>
              <w:t>；四星级：</w:t>
            </w:r>
            <w:r>
              <w:rPr>
                <w:rFonts w:ascii="Times New Roman" w:hAnsi="Times New Roman" w:eastAsia="楷体_GB2312" w:cs="Times New Roman"/>
                <w:color w:val="000000"/>
                <w:kern w:val="0"/>
                <w:sz w:val="21"/>
                <w:szCs w:val="21"/>
              </w:rPr>
              <w:t>800-899</w:t>
            </w:r>
            <w:r>
              <w:rPr>
                <w:rFonts w:ascii="Times New Roman" w:hAnsi="Times New Roman" w:eastAsia="宋体" w:cs="Times New Roman"/>
                <w:color w:val="000000"/>
                <w:kern w:val="0"/>
                <w:sz w:val="21"/>
                <w:szCs w:val="21"/>
              </w:rPr>
              <w:t>分，且每一大项得分不低于该项总分的</w:t>
            </w:r>
            <w:r>
              <w:rPr>
                <w:rFonts w:ascii="Times New Roman" w:hAnsi="Times New Roman" w:eastAsia="楷体_GB2312" w:cs="Times New Roman"/>
                <w:color w:val="000000"/>
                <w:kern w:val="0"/>
                <w:sz w:val="21"/>
                <w:szCs w:val="21"/>
              </w:rPr>
              <w:t>70%</w:t>
            </w:r>
            <w:r>
              <w:rPr>
                <w:rFonts w:ascii="Times New Roman" w:hAnsi="Times New Roman" w:eastAsia="宋体" w:cs="Times New Roman"/>
                <w:color w:val="000000"/>
                <w:kern w:val="0"/>
                <w:sz w:val="21"/>
                <w:szCs w:val="21"/>
              </w:rPr>
              <w:t>；五星级：</w:t>
            </w:r>
            <w:r>
              <w:rPr>
                <w:rFonts w:ascii="Times New Roman" w:hAnsi="Times New Roman" w:eastAsia="楷体_GB2312" w:cs="Times New Roman"/>
                <w:color w:val="000000"/>
                <w:kern w:val="0"/>
                <w:sz w:val="21"/>
                <w:szCs w:val="21"/>
              </w:rPr>
              <w:t>900</w:t>
            </w:r>
            <w:r>
              <w:rPr>
                <w:rFonts w:ascii="Times New Roman" w:hAnsi="Times New Roman" w:eastAsia="宋体" w:cs="Times New Roman"/>
                <w:color w:val="000000"/>
                <w:kern w:val="0"/>
                <w:sz w:val="21"/>
                <w:szCs w:val="21"/>
              </w:rPr>
              <w:t>分以上，且每一大项得分不低于该项总分的</w:t>
            </w:r>
            <w:r>
              <w:rPr>
                <w:rFonts w:ascii="Times New Roman" w:hAnsi="Times New Roman" w:eastAsia="楷体_GB2312" w:cs="Times New Roman"/>
                <w:color w:val="000000"/>
                <w:kern w:val="0"/>
                <w:sz w:val="21"/>
                <w:szCs w:val="21"/>
              </w:rPr>
              <w:t>80%</w:t>
            </w:r>
            <w:r>
              <w:rPr>
                <w:rFonts w:ascii="Times New Roman" w:hAnsi="Times New Roman" w:eastAsia="宋体" w:cs="Times New Roman"/>
                <w:color w:val="000000"/>
                <w:kern w:val="0"/>
                <w:sz w:val="21"/>
                <w:szCs w:val="21"/>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1C3A34"/>
    <w:multiLevelType w:val="singleLevel"/>
    <w:tmpl w:val="F91C3A34"/>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613B9B"/>
    <w:rsid w:val="125509B8"/>
    <w:rsid w:val="3D6A6241"/>
    <w:rsid w:val="40D70524"/>
    <w:rsid w:val="47613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仿宋_GB2312" w:cs="Calibri"/>
      <w:kern w:val="2"/>
      <w:sz w:val="30"/>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15"/>
    <w:basedOn w:val="3"/>
    <w:qFormat/>
    <w:uiPriority w:val="0"/>
    <w:rPr>
      <w:rFonts w:hint="default" w:ascii="Calibri" w:hAnsi="Calibri" w:cs="Calibri"/>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2020-06-30T09:28:00Z</dcterms:created>
  <dc:creator>Administrator</dc:creator>
  <cp:lastModifiedBy>紫色沙漠</cp:lastModifiedBy>
  <dcterms:modified xsi:type="dcterms:W3CDTF">2020-07-02T08:27:36Z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